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7D" w:rsidRDefault="00DB017D" w:rsidP="00DB017D">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1</w:t>
      </w:r>
    </w:p>
    <w:p w:rsidR="00DB017D" w:rsidRPr="007B7B85" w:rsidRDefault="00DB017D" w:rsidP="00DB017D">
      <w:pPr>
        <w:pStyle w:val="ListParagraph"/>
        <w:spacing w:line="720" w:lineRule="auto"/>
        <w:ind w:left="0"/>
        <w:jc w:val="center"/>
        <w:rPr>
          <w:rFonts w:ascii="Times New Roman" w:hAnsi="Times New Roman" w:cs="Times New Roman"/>
          <w:b/>
          <w:sz w:val="24"/>
          <w:szCs w:val="24"/>
        </w:rPr>
      </w:pPr>
      <w:r w:rsidRPr="007B7B85">
        <w:rPr>
          <w:rFonts w:ascii="Times New Roman" w:hAnsi="Times New Roman" w:cs="Times New Roman"/>
          <w:b/>
          <w:sz w:val="24"/>
          <w:szCs w:val="24"/>
        </w:rPr>
        <w:t>PENDAHULUAN</w:t>
      </w:r>
    </w:p>
    <w:p w:rsidR="00DB017D" w:rsidRPr="007B7B85" w:rsidRDefault="00DB017D" w:rsidP="00DB017D">
      <w:pPr>
        <w:pStyle w:val="ListParagraph"/>
        <w:numPr>
          <w:ilvl w:val="1"/>
          <w:numId w:val="3"/>
        </w:numPr>
        <w:spacing w:line="360" w:lineRule="auto"/>
        <w:ind w:left="720" w:hanging="720"/>
        <w:jc w:val="both"/>
        <w:rPr>
          <w:rFonts w:ascii="Times New Roman" w:hAnsi="Times New Roman" w:cs="Times New Roman"/>
          <w:b/>
          <w:sz w:val="24"/>
          <w:szCs w:val="24"/>
        </w:rPr>
      </w:pPr>
      <w:r w:rsidRPr="007B7B85">
        <w:rPr>
          <w:rFonts w:ascii="Times New Roman" w:hAnsi="Times New Roman" w:cs="Times New Roman"/>
          <w:b/>
          <w:sz w:val="24"/>
          <w:szCs w:val="24"/>
        </w:rPr>
        <w:t>Latar Belakang</w:t>
      </w:r>
    </w:p>
    <w:p w:rsidR="00DB017D" w:rsidRPr="007B7B85" w:rsidRDefault="00DB017D" w:rsidP="00DB017D">
      <w:pPr>
        <w:pStyle w:val="ListParagraph"/>
        <w:tabs>
          <w:tab w:val="left" w:pos="720"/>
          <w:tab w:val="left" w:pos="1890"/>
        </w:tabs>
        <w:spacing w:line="360" w:lineRule="auto"/>
        <w:ind w:left="0"/>
        <w:jc w:val="both"/>
        <w:rPr>
          <w:rFonts w:ascii="Times New Roman" w:hAnsi="Times New Roman" w:cs="Times New Roman"/>
          <w:sz w:val="24"/>
          <w:szCs w:val="24"/>
        </w:rPr>
      </w:pPr>
      <w:r w:rsidRPr="007B7B85">
        <w:rPr>
          <w:rFonts w:ascii="Times New Roman" w:hAnsi="Times New Roman" w:cs="Times New Roman"/>
          <w:color w:val="000000"/>
          <w:sz w:val="24"/>
          <w:szCs w:val="24"/>
          <w:lang w:val="en-US"/>
        </w:rPr>
        <w:tab/>
      </w:r>
      <w:r w:rsidRPr="007B7B85">
        <w:rPr>
          <w:rFonts w:ascii="Times New Roman" w:hAnsi="Times New Roman" w:cs="Times New Roman"/>
          <w:color w:val="000000"/>
          <w:sz w:val="24"/>
          <w:szCs w:val="24"/>
        </w:rPr>
        <w:t>Perkembangan</w:t>
      </w:r>
      <w:r w:rsidRPr="007B7B85">
        <w:rPr>
          <w:rFonts w:ascii="Times New Roman" w:hAnsi="Times New Roman" w:cs="Times New Roman"/>
          <w:sz w:val="24"/>
          <w:szCs w:val="24"/>
        </w:rPr>
        <w:t xml:space="preserve"> industri perbankan dalam memasuki era globalisasi, era pasar bebas dan persaingan usaha yang semakin luas, menuntut perusahaan harus berpikir keras dalam mempertahankan dan mengembangkan strategi perusahaan, agar perusahaan dapat bertahan dalam mengembangkan eksistensi dan me</w:t>
      </w:r>
      <w:r>
        <w:rPr>
          <w:rFonts w:ascii="Times New Roman" w:hAnsi="Times New Roman" w:cs="Times New Roman"/>
          <w:sz w:val="24"/>
          <w:szCs w:val="24"/>
        </w:rPr>
        <w:t>mperbaiki kinerjanya.</w:t>
      </w:r>
      <w:r w:rsidRPr="007B7B85">
        <w:rPr>
          <w:rFonts w:ascii="Times New Roman" w:hAnsi="Times New Roman" w:cs="Times New Roman"/>
          <w:sz w:val="24"/>
          <w:szCs w:val="24"/>
        </w:rPr>
        <w:t xml:space="preserve">Berbagai </w:t>
      </w:r>
      <w:r w:rsidRPr="007B7B85">
        <w:rPr>
          <w:rFonts w:ascii="Times New Roman" w:hAnsi="Times New Roman" w:cs="Times New Roman"/>
          <w:sz w:val="24"/>
          <w:szCs w:val="24"/>
          <w:lang w:val="en-US"/>
        </w:rPr>
        <w:t>s</w:t>
      </w:r>
      <w:r w:rsidRPr="007B7B85">
        <w:rPr>
          <w:rFonts w:ascii="Times New Roman" w:hAnsi="Times New Roman" w:cs="Times New Roman"/>
          <w:sz w:val="24"/>
          <w:szCs w:val="24"/>
        </w:rPr>
        <w:t>trategi dapat ditempuh oleh industri perbankan agar dapat mempertahankan eksistensi dan menjaga kesehatan bank, salah satunya dengan melakukan Merger. Merger berkembang dari era 1970-an hingga saat ini sebagai salah satu kebijakan untuk menangani krisis perekonomian dunia yang didukung oleh faktor-faktor seperti: menyatunya sistem perekonomian regional dan perekonomian dunia, adanya ekspansi perusahaan-perusahaan di berbagai negara. Merger tidak hanya muncul di perbankan negara-negara berkembang atau yang sedang mengalami krisis tetapi juga bermunculan di negara-negara maju seperti di Amerika Serikat, Jerman maupun Jepang dengan tujuan ingin memperoleh keuntungan.</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 xml:space="preserve">Di Indonesia, merger diberlakukan demi diharapkan membentuk </w:t>
      </w:r>
      <w:r w:rsidRPr="007B7B85">
        <w:rPr>
          <w:rFonts w:ascii="Times New Roman" w:hAnsi="Times New Roman" w:cs="Times New Roman"/>
          <w:i/>
          <w:iCs/>
          <w:sz w:val="24"/>
          <w:szCs w:val="24"/>
        </w:rPr>
        <w:t xml:space="preserve">core banks </w:t>
      </w:r>
      <w:r w:rsidRPr="007B7B85">
        <w:rPr>
          <w:rFonts w:ascii="Times New Roman" w:hAnsi="Times New Roman" w:cs="Times New Roman"/>
          <w:sz w:val="24"/>
          <w:szCs w:val="24"/>
        </w:rPr>
        <w:t>dengan daya saing yang kuat dan mampu menggerakkan perekonomian nasional (Moin, 2003).</w:t>
      </w:r>
    </w:p>
    <w:p w:rsidR="00DB017D" w:rsidRPr="007B7B85" w:rsidRDefault="00DB017D" w:rsidP="00DB017D">
      <w:pPr>
        <w:pStyle w:val="ListParagraph"/>
        <w:spacing w:line="360" w:lineRule="auto"/>
        <w:ind w:left="0" w:firstLine="720"/>
        <w:jc w:val="both"/>
        <w:rPr>
          <w:rFonts w:ascii="Times New Roman" w:hAnsi="Times New Roman" w:cs="Times New Roman"/>
          <w:sz w:val="24"/>
          <w:szCs w:val="24"/>
        </w:rPr>
      </w:pPr>
      <w:r w:rsidRPr="007B7B85">
        <w:rPr>
          <w:rFonts w:ascii="Times New Roman" w:hAnsi="Times New Roman" w:cs="Times New Roman"/>
          <w:color w:val="000000"/>
          <w:sz w:val="24"/>
          <w:szCs w:val="24"/>
        </w:rPr>
        <w:t xml:space="preserve">Kinerja keuangan perusahaan dapat dilihat dari berbagai sisi tergantung pada tujuan dan sudut pandang penganalisa, karena hal ini akan menentukan jenis rasio dan ukuran lain yang akan digunakan dalam menilai kinerja keuangan perusahaan. Penilaian dengan analisa rasio didasarkan pada perbandingan kinerja keuangan perusahaan dalam beberapa periode (time series analysis) untuk mengetahui </w:t>
      </w:r>
      <w:r w:rsidRPr="007B7B85">
        <w:rPr>
          <w:rFonts w:ascii="Times New Roman" w:hAnsi="Times New Roman" w:cs="Times New Roman"/>
          <w:sz w:val="24"/>
          <w:szCs w:val="24"/>
        </w:rPr>
        <w:t>prospek perusahaan dimasa depan, dan dapat juga didasarkan perbandingan kinerja keuangan perusahaan lain yang sejenis (cross sectional analysis) untuk mengetahui posisi perusahaan tersebut jika dibandingkan dengan perusahaan sejenis.</w:t>
      </w:r>
    </w:p>
    <w:p w:rsidR="00DB017D" w:rsidRDefault="00DB017D" w:rsidP="00DB017D">
      <w:pPr>
        <w:pStyle w:val="ListParagraph"/>
        <w:tabs>
          <w:tab w:val="left" w:pos="7020"/>
          <w:tab w:val="left" w:pos="7110"/>
        </w:tabs>
        <w:spacing w:line="360" w:lineRule="auto"/>
        <w:ind w:left="0" w:firstLine="720"/>
        <w:jc w:val="both"/>
        <w:rPr>
          <w:rFonts w:ascii="Times New Roman" w:hAnsi="Times New Roman" w:cs="Times New Roman"/>
          <w:sz w:val="24"/>
          <w:szCs w:val="24"/>
        </w:rPr>
        <w:sectPr w:rsidR="00DB017D" w:rsidSect="007B7B85">
          <w:headerReference w:type="default" r:id="rId6"/>
          <w:footerReference w:type="default" r:id="rId7"/>
          <w:pgSz w:w="11906" w:h="16838" w:code="9"/>
          <w:pgMar w:top="2268" w:right="1701" w:bottom="1701" w:left="2268" w:header="706" w:footer="706" w:gutter="0"/>
          <w:cols w:space="708"/>
          <w:docGrid w:linePitch="360"/>
        </w:sectPr>
      </w:pPr>
      <w:r w:rsidRPr="007B7B85">
        <w:rPr>
          <w:rFonts w:ascii="Times New Roman" w:hAnsi="Times New Roman" w:cs="Times New Roman"/>
          <w:sz w:val="24"/>
          <w:szCs w:val="24"/>
        </w:rPr>
        <w:t>Persaingan yang terjadi merupakan tantangan yang tidak bisa dihindarkan di segala bidang, termasuk di dunia perbankan. Suatu perusahaan memiliki cara</w:t>
      </w:r>
    </w:p>
    <w:p w:rsidR="00DB017D" w:rsidRPr="007B7B85" w:rsidRDefault="00DB017D" w:rsidP="00DB017D">
      <w:pPr>
        <w:pStyle w:val="ListParagraph"/>
        <w:tabs>
          <w:tab w:val="left" w:pos="7020"/>
          <w:tab w:val="left" w:pos="7110"/>
        </w:tabs>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lastRenderedPageBreak/>
        <w:t>yang paling tepat untuk mampu bersaing di tengah ketatnya persaingan dalam memiliki tujuan untuk mendapatkan profit.</w:t>
      </w:r>
      <w:proofErr w:type="spellStart"/>
      <w:r w:rsidRPr="007B7B85">
        <w:rPr>
          <w:rFonts w:ascii="Times New Roman" w:hAnsi="Times New Roman" w:cs="Times New Roman"/>
          <w:sz w:val="24"/>
          <w:szCs w:val="24"/>
          <w:lang w:val="en-US"/>
        </w:rPr>
        <w:t>Untuk</w:t>
      </w:r>
      <w:proofErr w:type="spellEnd"/>
      <w:r w:rsidRPr="007B7B85">
        <w:rPr>
          <w:rFonts w:ascii="Times New Roman" w:hAnsi="Times New Roman" w:cs="Times New Roman"/>
          <w:sz w:val="24"/>
          <w:szCs w:val="24"/>
          <w:lang w:val="en-US"/>
        </w:rPr>
        <w:t xml:space="preserve"> </w:t>
      </w:r>
      <w:r w:rsidRPr="007B7B85">
        <w:rPr>
          <w:rFonts w:ascii="Times New Roman" w:hAnsi="Times New Roman" w:cs="Times New Roman"/>
          <w:sz w:val="24"/>
          <w:szCs w:val="24"/>
        </w:rPr>
        <w:t>meningkatkan profitabilitas, perusahaan harus memperbaiki kinerja keuangan perusahaan tersebut. Kinerja keuangan merupakan gambaran prestasi perusahaan dalam bidang keuangan yang terdapat pada laporan keuangan. Kinerja keungan merupakan salah satu indikator penting untuk mengetahui kondisi keuangan bank. Oleh karena itu, pengukuran kinerja keuangan bank perlu dilakukan secara berkelanjutan untuk memantau kinerja keuangan bank, sebagai evaluasi kerja bank dan salah satu acuan untuk menentukan kebijakan untuk periode selanjutnya.</w:t>
      </w:r>
    </w:p>
    <w:p w:rsidR="00DB017D" w:rsidRPr="007B7B85" w:rsidRDefault="00DB017D" w:rsidP="00DB017D">
      <w:pPr>
        <w:pStyle w:val="ListParagraph"/>
        <w:spacing w:line="360" w:lineRule="auto"/>
        <w:ind w:left="0" w:firstLine="720"/>
        <w:jc w:val="both"/>
        <w:rPr>
          <w:rFonts w:ascii="Times New Roman" w:hAnsi="Times New Roman" w:cs="Times New Roman"/>
          <w:sz w:val="24"/>
          <w:szCs w:val="24"/>
        </w:rPr>
      </w:pPr>
      <w:r w:rsidRPr="007B7B85">
        <w:rPr>
          <w:rFonts w:ascii="Times New Roman" w:hAnsi="Times New Roman" w:cs="Times New Roman"/>
          <w:sz w:val="24"/>
          <w:szCs w:val="24"/>
        </w:rPr>
        <w:t xml:space="preserve">Salah satu langkah strategis yang dapat dilakukan suatu perusahaan untuk dapat menjaga kelangsungan hidup dalam menghadapi persaingan bisnis global yaitu dengan melakukan penggabungan usaha dengan perusahaan lain. penggabungan usaha sebagai bentuk penyatuan dua perusahaan atau lebih yang terpisah menjadi satu entitas ekonomi karena satu perusahaan menyatu dengan perusahaan lain ataupun memperoleh kendali atau kontrol atas aktiva dan operasi perusahaan lain. Dengan melakukan penggabungan usaha, dua perusahaan atau lebih menjadi satu akan saling menunjang kegiatan usaha satu dengan yang lain, sehingga diharapkan keuntungan yang didapat akan lebih besar dari pada melakukan usaha sendiri-sendiri. </w:t>
      </w:r>
    </w:p>
    <w:p w:rsidR="00DB017D" w:rsidRPr="007B7B85" w:rsidRDefault="00DB017D" w:rsidP="00DB017D">
      <w:pPr>
        <w:pStyle w:val="ListParagraph"/>
        <w:spacing w:line="360" w:lineRule="auto"/>
        <w:ind w:left="0" w:firstLine="720"/>
        <w:jc w:val="both"/>
        <w:rPr>
          <w:rFonts w:ascii="Times New Roman" w:hAnsi="Times New Roman" w:cs="Times New Roman"/>
          <w:color w:val="000000"/>
          <w:sz w:val="24"/>
          <w:szCs w:val="24"/>
        </w:rPr>
      </w:pPr>
      <w:r w:rsidRPr="007B7B85">
        <w:rPr>
          <w:rFonts w:ascii="Times New Roman" w:hAnsi="Times New Roman" w:cs="Times New Roman"/>
          <w:color w:val="000000"/>
          <w:sz w:val="24"/>
          <w:szCs w:val="24"/>
        </w:rPr>
        <w:t>Menurut Moin (2010 : 2 ), Penggabungan usaha pada umumnya dilakukan dengan merger, akuisisi, dan konsolidasi.</w:t>
      </w:r>
      <w:r>
        <w:rPr>
          <w:rFonts w:ascii="Times New Roman" w:hAnsi="Times New Roman" w:cs="Times New Roman"/>
          <w:color w:val="000000"/>
          <w:sz w:val="24"/>
          <w:szCs w:val="24"/>
          <w:lang w:val="en-US"/>
        </w:rPr>
        <w:t xml:space="preserve"> </w:t>
      </w:r>
      <w:r w:rsidRPr="007B7B85">
        <w:rPr>
          <w:rFonts w:ascii="Times New Roman" w:hAnsi="Times New Roman" w:cs="Times New Roman"/>
          <w:color w:val="000000"/>
          <w:sz w:val="24"/>
          <w:szCs w:val="24"/>
        </w:rPr>
        <w:t>Merger adalah kegiatan bank atau perusahaan</w:t>
      </w:r>
      <w:r>
        <w:rPr>
          <w:rFonts w:ascii="Times New Roman" w:hAnsi="Times New Roman" w:cs="Times New Roman"/>
          <w:color w:val="000000"/>
          <w:sz w:val="24"/>
          <w:szCs w:val="24"/>
          <w:lang w:val="en-US"/>
        </w:rPr>
        <w:t xml:space="preserve"> </w:t>
      </w:r>
      <w:r w:rsidRPr="007B7B85">
        <w:rPr>
          <w:rFonts w:ascii="Times New Roman" w:hAnsi="Times New Roman" w:cs="Times New Roman"/>
          <w:color w:val="000000"/>
          <w:sz w:val="24"/>
          <w:szCs w:val="24"/>
        </w:rPr>
        <w:t>dan menyatukan dua atau lebih perusahaan.</w:t>
      </w:r>
      <w:r>
        <w:rPr>
          <w:rFonts w:ascii="Times New Roman" w:hAnsi="Times New Roman" w:cs="Times New Roman"/>
          <w:color w:val="000000"/>
          <w:sz w:val="24"/>
          <w:szCs w:val="24"/>
          <w:lang w:val="en-US"/>
        </w:rPr>
        <w:t xml:space="preserve"> </w:t>
      </w:r>
      <w:r w:rsidRPr="007B7B85">
        <w:rPr>
          <w:rFonts w:ascii="Times New Roman" w:hAnsi="Times New Roman" w:cs="Times New Roman"/>
          <w:color w:val="000000"/>
          <w:sz w:val="24"/>
          <w:szCs w:val="24"/>
        </w:rPr>
        <w:t>Aktivitas merger semakin meningkat seiring</w:t>
      </w:r>
      <w:r>
        <w:rPr>
          <w:rFonts w:ascii="Times New Roman" w:hAnsi="Times New Roman" w:cs="Times New Roman"/>
          <w:color w:val="000000"/>
          <w:sz w:val="24"/>
          <w:szCs w:val="24"/>
          <w:lang w:val="en-US"/>
        </w:rPr>
        <w:t xml:space="preserve"> </w:t>
      </w:r>
      <w:r w:rsidRPr="007B7B85">
        <w:rPr>
          <w:rFonts w:ascii="Times New Roman" w:hAnsi="Times New Roman" w:cs="Times New Roman"/>
          <w:color w:val="000000"/>
          <w:sz w:val="24"/>
          <w:szCs w:val="24"/>
        </w:rPr>
        <w:t>dengan intensnya yang semakin mengglobal</w:t>
      </w:r>
      <w:r>
        <w:rPr>
          <w:rFonts w:ascii="Times New Roman" w:hAnsi="Times New Roman" w:cs="Times New Roman"/>
          <w:color w:val="000000"/>
          <w:sz w:val="24"/>
          <w:szCs w:val="24"/>
          <w:lang w:val="en-US"/>
        </w:rPr>
        <w:t xml:space="preserve"> </w:t>
      </w:r>
      <w:r w:rsidRPr="007B7B85">
        <w:rPr>
          <w:rFonts w:ascii="Times New Roman" w:hAnsi="Times New Roman" w:cs="Times New Roman"/>
          <w:color w:val="000000"/>
          <w:sz w:val="24"/>
          <w:szCs w:val="24"/>
        </w:rPr>
        <w:t>sehingga menunjukkan skala yang cukup</w:t>
      </w:r>
      <w:r>
        <w:rPr>
          <w:rFonts w:ascii="Times New Roman" w:hAnsi="Times New Roman" w:cs="Times New Roman"/>
          <w:color w:val="000000"/>
          <w:sz w:val="24"/>
          <w:szCs w:val="24"/>
          <w:lang w:val="en-US"/>
        </w:rPr>
        <w:t xml:space="preserve"> </w:t>
      </w:r>
      <w:r w:rsidRPr="007B7B85">
        <w:rPr>
          <w:rFonts w:ascii="Times New Roman" w:hAnsi="Times New Roman" w:cs="Times New Roman"/>
          <w:color w:val="000000"/>
          <w:sz w:val="24"/>
          <w:szCs w:val="24"/>
        </w:rPr>
        <w:t>signifikan dari tahun ke tahun. seperti halnya perbankan lain, keputusan merger</w:t>
      </w:r>
      <w:r>
        <w:rPr>
          <w:rFonts w:ascii="Times New Roman" w:hAnsi="Times New Roman" w:cs="Times New Roman"/>
          <w:color w:val="000000"/>
          <w:sz w:val="24"/>
          <w:szCs w:val="24"/>
          <w:lang w:val="en-US"/>
        </w:rPr>
        <w:t xml:space="preserve"> </w:t>
      </w:r>
      <w:r w:rsidRPr="007B7B85">
        <w:rPr>
          <w:rFonts w:ascii="Times New Roman" w:hAnsi="Times New Roman" w:cs="Times New Roman"/>
          <w:color w:val="000000"/>
          <w:sz w:val="24"/>
          <w:szCs w:val="24"/>
        </w:rPr>
        <w:t>pun diambil oleh Bank OCBC NISP dan Bank OCBC Indonesia menjadi Bank OCBC NISP yang mulai efektif pada tahun 2011.</w:t>
      </w:r>
    </w:p>
    <w:p w:rsidR="00DB017D" w:rsidRPr="00DB017D" w:rsidRDefault="00DB017D" w:rsidP="00DB017D">
      <w:pPr>
        <w:pStyle w:val="ListParagraph"/>
        <w:spacing w:line="360" w:lineRule="auto"/>
        <w:ind w:left="0" w:firstLine="720"/>
        <w:jc w:val="both"/>
        <w:rPr>
          <w:rFonts w:ascii="Times New Roman" w:hAnsi="Times New Roman" w:cs="Times New Roman"/>
          <w:sz w:val="24"/>
          <w:szCs w:val="24"/>
        </w:rPr>
      </w:pPr>
      <w:r w:rsidRPr="007B7B85">
        <w:rPr>
          <w:rFonts w:ascii="Times New Roman" w:hAnsi="Times New Roman" w:cs="Times New Roman"/>
          <w:sz w:val="24"/>
          <w:szCs w:val="24"/>
        </w:rPr>
        <w:t xml:space="preserve">PT.Bank OCBC NISP merupakan salah satu bank yang telah melakukan merger dengan bank OCBC </w:t>
      </w:r>
      <w:r w:rsidRPr="007B7B85">
        <w:rPr>
          <w:rFonts w:ascii="Times New Roman" w:hAnsi="Times New Roman" w:cs="Times New Roman"/>
          <w:sz w:val="24"/>
          <w:szCs w:val="24"/>
          <w:lang w:val="en-US"/>
        </w:rPr>
        <w:t>In</w:t>
      </w:r>
      <w:r w:rsidRPr="007B7B85">
        <w:rPr>
          <w:rFonts w:ascii="Times New Roman" w:hAnsi="Times New Roman" w:cs="Times New Roman"/>
          <w:sz w:val="24"/>
          <w:szCs w:val="24"/>
        </w:rPr>
        <w:t xml:space="preserve">donesia dalam rangka penyehatan </w:t>
      </w:r>
      <w:r w:rsidRPr="007B7B85">
        <w:rPr>
          <w:rFonts w:ascii="Times New Roman" w:hAnsi="Times New Roman" w:cs="Times New Roman"/>
          <w:sz w:val="24"/>
          <w:szCs w:val="24"/>
        </w:rPr>
        <w:lastRenderedPageBreak/>
        <w:t>perbankan. Laporan keuangan</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PT</w:t>
      </w:r>
      <w:r w:rsidRPr="007B7B85">
        <w:rPr>
          <w:rFonts w:ascii="Times New Roman" w:hAnsi="Times New Roman" w:cs="Times New Roman"/>
          <w:sz w:val="24"/>
          <w:szCs w:val="24"/>
          <w:lang w:val="en-US"/>
        </w:rPr>
        <w:t xml:space="preserve">. </w:t>
      </w:r>
      <w:r w:rsidRPr="007B7B85">
        <w:rPr>
          <w:rFonts w:ascii="Times New Roman" w:hAnsi="Times New Roman" w:cs="Times New Roman"/>
          <w:sz w:val="24"/>
          <w:szCs w:val="24"/>
        </w:rPr>
        <w:t>Bank OCBC NISP sebelum dan sesudah merger dapat dilihat pada tabel berikut</w:t>
      </w:r>
      <w:r w:rsidRPr="007B7B85">
        <w:rPr>
          <w:rFonts w:ascii="Times New Roman" w:hAnsi="Times New Roman" w:cs="Times New Roman"/>
          <w:sz w:val="24"/>
          <w:szCs w:val="24"/>
          <w:lang w:val="en-US"/>
        </w:rPr>
        <w:t>.</w:t>
      </w:r>
      <w:bookmarkStart w:id="0" w:name="_GoBack"/>
      <w:bookmarkEnd w:id="0"/>
    </w:p>
    <w:p w:rsidR="00DB017D" w:rsidRPr="007B7B85" w:rsidRDefault="00DB017D" w:rsidP="00DB017D">
      <w:pPr>
        <w:pStyle w:val="ListParagraph"/>
        <w:spacing w:line="360" w:lineRule="auto"/>
        <w:ind w:left="1800" w:firstLine="360"/>
        <w:jc w:val="both"/>
        <w:rPr>
          <w:rFonts w:ascii="Times New Roman" w:hAnsi="Times New Roman" w:cs="Times New Roman"/>
          <w:sz w:val="24"/>
          <w:szCs w:val="24"/>
        </w:rPr>
      </w:pPr>
      <w:r w:rsidRPr="007B7B85">
        <w:rPr>
          <w:rFonts w:ascii="Times New Roman" w:hAnsi="Times New Roman" w:cs="Times New Roman"/>
          <w:sz w:val="24"/>
          <w:szCs w:val="24"/>
        </w:rPr>
        <w:t>Tabel 1.1</w:t>
      </w:r>
    </w:p>
    <w:p w:rsidR="00DB017D" w:rsidRPr="007B7B85" w:rsidRDefault="00DB017D" w:rsidP="00DB017D">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Kinerja Keuangan Bank sebelum merger periode 2009-2011 dan sesudah merger periode 2012-2014  Bank OCBC NISP</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1247"/>
        <w:gridCol w:w="939"/>
        <w:gridCol w:w="966"/>
        <w:gridCol w:w="1050"/>
        <w:gridCol w:w="1194"/>
      </w:tblGrid>
      <w:tr w:rsidR="00DB017D" w:rsidRPr="007B7B85" w:rsidTr="00421713">
        <w:tc>
          <w:tcPr>
            <w:tcW w:w="1620" w:type="dxa"/>
            <w:tcBorders>
              <w:top w:val="single" w:sz="4" w:space="0" w:color="auto"/>
              <w:bottom w:val="single" w:sz="4" w:space="0" w:color="auto"/>
            </w:tcBorders>
          </w:tcPr>
          <w:p w:rsidR="00DB017D" w:rsidRPr="007B7B85" w:rsidRDefault="00DB017D" w:rsidP="00421713">
            <w:pPr>
              <w:pStyle w:val="ListParagraph"/>
              <w:spacing w:line="360" w:lineRule="auto"/>
              <w:ind w:left="0" w:right="72"/>
              <w:jc w:val="both"/>
              <w:rPr>
                <w:rFonts w:ascii="Times New Roman" w:hAnsi="Times New Roman" w:cs="Times New Roman"/>
                <w:sz w:val="24"/>
                <w:szCs w:val="24"/>
              </w:rPr>
            </w:pPr>
            <w:r w:rsidRPr="007B7B85">
              <w:rPr>
                <w:rFonts w:ascii="Times New Roman" w:hAnsi="Times New Roman" w:cs="Times New Roman"/>
                <w:sz w:val="24"/>
                <w:szCs w:val="24"/>
              </w:rPr>
              <w:t>Tahun</w:t>
            </w:r>
          </w:p>
        </w:tc>
        <w:tc>
          <w:tcPr>
            <w:tcW w:w="1307" w:type="dxa"/>
            <w:tcBorders>
              <w:top w:val="single" w:sz="4" w:space="0" w:color="auto"/>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NPM</w:t>
            </w:r>
          </w:p>
        </w:tc>
        <w:tc>
          <w:tcPr>
            <w:tcW w:w="962" w:type="dxa"/>
            <w:tcBorders>
              <w:top w:val="single" w:sz="4" w:space="0" w:color="auto"/>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ROA</w:t>
            </w:r>
          </w:p>
        </w:tc>
        <w:tc>
          <w:tcPr>
            <w:tcW w:w="977" w:type="dxa"/>
            <w:tcBorders>
              <w:top w:val="single" w:sz="4" w:space="0" w:color="auto"/>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ROE</w:t>
            </w:r>
          </w:p>
        </w:tc>
        <w:tc>
          <w:tcPr>
            <w:tcW w:w="1086" w:type="dxa"/>
            <w:tcBorders>
              <w:top w:val="single" w:sz="4" w:space="0" w:color="auto"/>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CR</w:t>
            </w:r>
          </w:p>
        </w:tc>
        <w:tc>
          <w:tcPr>
            <w:tcW w:w="1248" w:type="dxa"/>
            <w:tcBorders>
              <w:top w:val="single" w:sz="4" w:space="0" w:color="auto"/>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Debt ratio</w:t>
            </w:r>
          </w:p>
        </w:tc>
      </w:tr>
      <w:tr w:rsidR="00DB017D" w:rsidRPr="007B7B85" w:rsidTr="00421713">
        <w:tc>
          <w:tcPr>
            <w:tcW w:w="1620" w:type="dxa"/>
            <w:tcBorders>
              <w:top w:val="single" w:sz="4" w:space="0" w:color="auto"/>
            </w:tcBorders>
          </w:tcPr>
          <w:p w:rsidR="00DB017D" w:rsidRPr="007B7B85" w:rsidRDefault="00DB017D" w:rsidP="00421713">
            <w:pPr>
              <w:pStyle w:val="ListParagraph"/>
              <w:spacing w:line="360" w:lineRule="auto"/>
              <w:ind w:left="0" w:right="72"/>
              <w:jc w:val="both"/>
              <w:rPr>
                <w:rFonts w:ascii="Times New Roman" w:hAnsi="Times New Roman" w:cs="Times New Roman"/>
                <w:sz w:val="24"/>
                <w:szCs w:val="24"/>
              </w:rPr>
            </w:pPr>
            <w:r w:rsidRPr="007B7B85">
              <w:rPr>
                <w:rFonts w:ascii="Times New Roman" w:hAnsi="Times New Roman" w:cs="Times New Roman"/>
                <w:sz w:val="24"/>
                <w:szCs w:val="24"/>
              </w:rPr>
              <w:t>2009</w:t>
            </w:r>
          </w:p>
        </w:tc>
        <w:tc>
          <w:tcPr>
            <w:tcW w:w="1307" w:type="dxa"/>
            <w:tcBorders>
              <w:top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2.756</w:t>
            </w:r>
          </w:p>
        </w:tc>
        <w:tc>
          <w:tcPr>
            <w:tcW w:w="962" w:type="dxa"/>
            <w:tcBorders>
              <w:top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1.278</w:t>
            </w:r>
          </w:p>
        </w:tc>
        <w:tc>
          <w:tcPr>
            <w:tcW w:w="977" w:type="dxa"/>
            <w:tcBorders>
              <w:top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10.556</w:t>
            </w:r>
          </w:p>
        </w:tc>
        <w:tc>
          <w:tcPr>
            <w:tcW w:w="1086" w:type="dxa"/>
            <w:tcBorders>
              <w:top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3.259</w:t>
            </w:r>
          </w:p>
        </w:tc>
        <w:tc>
          <w:tcPr>
            <w:tcW w:w="1248" w:type="dxa"/>
            <w:tcBorders>
              <w:top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0.560</w:t>
            </w:r>
          </w:p>
        </w:tc>
      </w:tr>
      <w:tr w:rsidR="00DB017D" w:rsidRPr="007B7B85" w:rsidTr="00421713">
        <w:tc>
          <w:tcPr>
            <w:tcW w:w="1620" w:type="dxa"/>
          </w:tcPr>
          <w:p w:rsidR="00DB017D" w:rsidRPr="007B7B85" w:rsidRDefault="00DB017D" w:rsidP="00421713">
            <w:pPr>
              <w:pStyle w:val="ListParagraph"/>
              <w:spacing w:line="360" w:lineRule="auto"/>
              <w:ind w:left="0" w:right="72"/>
              <w:jc w:val="both"/>
              <w:rPr>
                <w:rFonts w:ascii="Times New Roman" w:hAnsi="Times New Roman" w:cs="Times New Roman"/>
                <w:sz w:val="24"/>
                <w:szCs w:val="24"/>
              </w:rPr>
            </w:pPr>
            <w:r w:rsidRPr="007B7B85">
              <w:rPr>
                <w:rFonts w:ascii="Times New Roman" w:hAnsi="Times New Roman" w:cs="Times New Roman"/>
                <w:sz w:val="24"/>
                <w:szCs w:val="24"/>
              </w:rPr>
              <w:t>2010</w:t>
            </w:r>
          </w:p>
        </w:tc>
        <w:tc>
          <w:tcPr>
            <w:tcW w:w="1307"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2.971</w:t>
            </w:r>
          </w:p>
        </w:tc>
        <w:tc>
          <w:tcPr>
            <w:tcW w:w="962"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0.835</w:t>
            </w:r>
          </w:p>
        </w:tc>
        <w:tc>
          <w:tcPr>
            <w:tcW w:w="977"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7.180</w:t>
            </w:r>
          </w:p>
        </w:tc>
        <w:tc>
          <w:tcPr>
            <w:tcW w:w="1086"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2.927</w:t>
            </w:r>
          </w:p>
        </w:tc>
        <w:tc>
          <w:tcPr>
            <w:tcW w:w="1248"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0.611</w:t>
            </w:r>
          </w:p>
        </w:tc>
      </w:tr>
      <w:tr w:rsidR="00DB017D" w:rsidRPr="007B7B85" w:rsidTr="00421713">
        <w:tc>
          <w:tcPr>
            <w:tcW w:w="1620" w:type="dxa"/>
          </w:tcPr>
          <w:p w:rsidR="00DB017D" w:rsidRPr="007B7B85" w:rsidRDefault="00DB017D" w:rsidP="00421713">
            <w:pPr>
              <w:pStyle w:val="ListParagraph"/>
              <w:spacing w:line="360" w:lineRule="auto"/>
              <w:ind w:left="0" w:right="72"/>
              <w:jc w:val="both"/>
              <w:rPr>
                <w:rFonts w:ascii="Times New Roman" w:hAnsi="Times New Roman" w:cs="Times New Roman"/>
                <w:sz w:val="24"/>
                <w:szCs w:val="24"/>
              </w:rPr>
            </w:pPr>
            <w:r w:rsidRPr="007B7B85">
              <w:rPr>
                <w:rFonts w:ascii="Times New Roman" w:hAnsi="Times New Roman" w:cs="Times New Roman"/>
                <w:sz w:val="24"/>
                <w:szCs w:val="24"/>
              </w:rPr>
              <w:t>2011</w:t>
            </w:r>
          </w:p>
        </w:tc>
        <w:tc>
          <w:tcPr>
            <w:tcW w:w="1307"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2.975</w:t>
            </w:r>
          </w:p>
        </w:tc>
        <w:tc>
          <w:tcPr>
            <w:tcW w:w="962"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1.258</w:t>
            </w:r>
          </w:p>
        </w:tc>
        <w:tc>
          <w:tcPr>
            <w:tcW w:w="977"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11.420</w:t>
            </w:r>
          </w:p>
        </w:tc>
        <w:tc>
          <w:tcPr>
            <w:tcW w:w="1086"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2.384</w:t>
            </w:r>
          </w:p>
        </w:tc>
        <w:tc>
          <w:tcPr>
            <w:tcW w:w="1248"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0.506</w:t>
            </w:r>
          </w:p>
        </w:tc>
      </w:tr>
      <w:tr w:rsidR="00DB017D" w:rsidRPr="007B7B85" w:rsidTr="00421713">
        <w:tc>
          <w:tcPr>
            <w:tcW w:w="1620" w:type="dxa"/>
          </w:tcPr>
          <w:p w:rsidR="00DB017D" w:rsidRPr="007B7B85" w:rsidRDefault="00DB017D" w:rsidP="00421713">
            <w:pPr>
              <w:pStyle w:val="ListParagraph"/>
              <w:spacing w:line="360" w:lineRule="auto"/>
              <w:ind w:left="0" w:right="72"/>
              <w:jc w:val="both"/>
              <w:rPr>
                <w:rFonts w:ascii="Times New Roman" w:hAnsi="Times New Roman" w:cs="Times New Roman"/>
                <w:sz w:val="24"/>
                <w:szCs w:val="24"/>
              </w:rPr>
            </w:pPr>
            <w:r w:rsidRPr="007B7B85">
              <w:rPr>
                <w:rFonts w:ascii="Times New Roman" w:hAnsi="Times New Roman" w:cs="Times New Roman"/>
                <w:sz w:val="24"/>
                <w:szCs w:val="24"/>
              </w:rPr>
              <w:t>2012</w:t>
            </w:r>
          </w:p>
        </w:tc>
        <w:tc>
          <w:tcPr>
            <w:tcW w:w="1307"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2.790</w:t>
            </w:r>
          </w:p>
        </w:tc>
        <w:tc>
          <w:tcPr>
            <w:tcW w:w="962"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1.157</w:t>
            </w:r>
          </w:p>
        </w:tc>
        <w:tc>
          <w:tcPr>
            <w:tcW w:w="977"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10.227</w:t>
            </w:r>
          </w:p>
        </w:tc>
        <w:tc>
          <w:tcPr>
            <w:tcW w:w="1086"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1.951</w:t>
            </w:r>
          </w:p>
        </w:tc>
        <w:tc>
          <w:tcPr>
            <w:tcW w:w="1248"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0.449</w:t>
            </w:r>
          </w:p>
        </w:tc>
      </w:tr>
      <w:tr w:rsidR="00DB017D" w:rsidRPr="007B7B85" w:rsidTr="00421713">
        <w:tc>
          <w:tcPr>
            <w:tcW w:w="1620" w:type="dxa"/>
          </w:tcPr>
          <w:p w:rsidR="00DB017D" w:rsidRPr="007B7B85" w:rsidRDefault="00DB017D" w:rsidP="00421713">
            <w:pPr>
              <w:pStyle w:val="ListParagraph"/>
              <w:spacing w:line="360" w:lineRule="auto"/>
              <w:ind w:left="0" w:right="72"/>
              <w:jc w:val="both"/>
              <w:rPr>
                <w:rFonts w:ascii="Times New Roman" w:hAnsi="Times New Roman" w:cs="Times New Roman"/>
                <w:sz w:val="24"/>
                <w:szCs w:val="24"/>
              </w:rPr>
            </w:pPr>
            <w:r w:rsidRPr="007B7B85">
              <w:rPr>
                <w:rFonts w:ascii="Times New Roman" w:hAnsi="Times New Roman" w:cs="Times New Roman"/>
                <w:sz w:val="24"/>
                <w:szCs w:val="24"/>
              </w:rPr>
              <w:t>2013</w:t>
            </w:r>
          </w:p>
        </w:tc>
        <w:tc>
          <w:tcPr>
            <w:tcW w:w="1307"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2.688</w:t>
            </w:r>
          </w:p>
        </w:tc>
        <w:tc>
          <w:tcPr>
            <w:tcW w:w="962"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1.172</w:t>
            </w:r>
          </w:p>
        </w:tc>
        <w:tc>
          <w:tcPr>
            <w:tcW w:w="977"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8.467</w:t>
            </w:r>
          </w:p>
        </w:tc>
        <w:tc>
          <w:tcPr>
            <w:tcW w:w="1086"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4.019</w:t>
            </w:r>
          </w:p>
        </w:tc>
        <w:tc>
          <w:tcPr>
            <w:tcW w:w="1248" w:type="dxa"/>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0.277</w:t>
            </w:r>
          </w:p>
        </w:tc>
      </w:tr>
      <w:tr w:rsidR="00DB017D" w:rsidRPr="007B7B85" w:rsidTr="00421713">
        <w:tc>
          <w:tcPr>
            <w:tcW w:w="1620" w:type="dxa"/>
            <w:tcBorders>
              <w:bottom w:val="single" w:sz="4" w:space="0" w:color="auto"/>
            </w:tcBorders>
          </w:tcPr>
          <w:p w:rsidR="00DB017D" w:rsidRPr="007B7B85" w:rsidRDefault="00DB017D" w:rsidP="00421713">
            <w:pPr>
              <w:pStyle w:val="ListParagraph"/>
              <w:spacing w:line="360" w:lineRule="auto"/>
              <w:ind w:left="0" w:right="72"/>
              <w:jc w:val="both"/>
              <w:rPr>
                <w:rFonts w:ascii="Times New Roman" w:hAnsi="Times New Roman" w:cs="Times New Roman"/>
                <w:sz w:val="24"/>
                <w:szCs w:val="24"/>
              </w:rPr>
            </w:pPr>
            <w:r w:rsidRPr="007B7B85">
              <w:rPr>
                <w:rFonts w:ascii="Times New Roman" w:hAnsi="Times New Roman" w:cs="Times New Roman"/>
                <w:sz w:val="24"/>
                <w:szCs w:val="24"/>
              </w:rPr>
              <w:t>2014</w:t>
            </w:r>
          </w:p>
        </w:tc>
        <w:tc>
          <w:tcPr>
            <w:tcW w:w="1307" w:type="dxa"/>
            <w:tcBorders>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3.173</w:t>
            </w:r>
          </w:p>
        </w:tc>
        <w:tc>
          <w:tcPr>
            <w:tcW w:w="962" w:type="dxa"/>
            <w:tcBorders>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1.292</w:t>
            </w:r>
          </w:p>
        </w:tc>
        <w:tc>
          <w:tcPr>
            <w:tcW w:w="977" w:type="dxa"/>
            <w:tcBorders>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8.937</w:t>
            </w:r>
          </w:p>
        </w:tc>
        <w:tc>
          <w:tcPr>
            <w:tcW w:w="1086" w:type="dxa"/>
            <w:tcBorders>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3.597</w:t>
            </w:r>
          </w:p>
        </w:tc>
        <w:tc>
          <w:tcPr>
            <w:tcW w:w="1248" w:type="dxa"/>
            <w:tcBorders>
              <w:bottom w:val="single" w:sz="4" w:space="0" w:color="auto"/>
            </w:tcBorders>
          </w:tcPr>
          <w:p w:rsidR="00DB017D" w:rsidRPr="007B7B85" w:rsidRDefault="00DB017D" w:rsidP="00421713">
            <w:pPr>
              <w:pStyle w:val="ListParagraph"/>
              <w:spacing w:line="360" w:lineRule="auto"/>
              <w:ind w:left="0"/>
              <w:jc w:val="both"/>
              <w:rPr>
                <w:rFonts w:ascii="Times New Roman" w:hAnsi="Times New Roman" w:cs="Times New Roman"/>
                <w:sz w:val="24"/>
                <w:szCs w:val="24"/>
              </w:rPr>
            </w:pPr>
            <w:r w:rsidRPr="007B7B85">
              <w:rPr>
                <w:rFonts w:ascii="Times New Roman" w:hAnsi="Times New Roman" w:cs="Times New Roman"/>
                <w:sz w:val="24"/>
                <w:szCs w:val="24"/>
              </w:rPr>
              <w:t>0.267</w:t>
            </w:r>
          </w:p>
        </w:tc>
      </w:tr>
    </w:tbl>
    <w:p w:rsidR="00DB017D" w:rsidRPr="007B7B85" w:rsidRDefault="00DB017D" w:rsidP="00DB017D">
      <w:pPr>
        <w:pStyle w:val="ListParagraph"/>
        <w:spacing w:line="360" w:lineRule="auto"/>
        <w:ind w:left="360" w:firstLine="360"/>
        <w:jc w:val="both"/>
        <w:rPr>
          <w:rFonts w:ascii="Times New Roman" w:hAnsi="Times New Roman" w:cs="Times New Roman"/>
          <w:sz w:val="24"/>
          <w:szCs w:val="24"/>
        </w:rPr>
      </w:pPr>
      <w:r w:rsidRPr="007B7B85">
        <w:rPr>
          <w:rFonts w:ascii="Times New Roman" w:hAnsi="Times New Roman" w:cs="Times New Roman"/>
          <w:sz w:val="24"/>
          <w:szCs w:val="24"/>
        </w:rPr>
        <w:t xml:space="preserve">Sumber: </w:t>
      </w:r>
      <w:hyperlink r:id="rId8" w:history="1">
        <w:r w:rsidRPr="007B7B85">
          <w:rPr>
            <w:rStyle w:val="Hyperlink"/>
            <w:rFonts w:ascii="Times New Roman" w:hAnsi="Times New Roman" w:cs="Times New Roman"/>
            <w:sz w:val="24"/>
            <w:szCs w:val="24"/>
          </w:rPr>
          <w:t>www.idx.com</w:t>
        </w:r>
      </w:hyperlink>
      <w:r w:rsidRPr="007B7B85">
        <w:rPr>
          <w:rFonts w:ascii="Times New Roman" w:hAnsi="Times New Roman" w:cs="Times New Roman"/>
          <w:sz w:val="24"/>
          <w:szCs w:val="24"/>
        </w:rPr>
        <w:t>, tahun 2017</w:t>
      </w:r>
    </w:p>
    <w:p w:rsidR="00DB017D" w:rsidRPr="007B7B85" w:rsidRDefault="00DB017D" w:rsidP="00DB017D">
      <w:pPr>
        <w:pStyle w:val="ListParagraph"/>
        <w:tabs>
          <w:tab w:val="left" w:pos="720"/>
        </w:tabs>
        <w:spacing w:line="360" w:lineRule="auto"/>
        <w:ind w:left="360" w:firstLine="1908"/>
        <w:jc w:val="both"/>
        <w:rPr>
          <w:rFonts w:ascii="Times New Roman" w:hAnsi="Times New Roman" w:cs="Times New Roman"/>
          <w:sz w:val="24"/>
          <w:szCs w:val="24"/>
        </w:rPr>
      </w:pPr>
      <w:r w:rsidRPr="007B7B85">
        <w:rPr>
          <w:rFonts w:ascii="Times New Roman" w:hAnsi="Times New Roman" w:cs="Times New Roman"/>
          <w:sz w:val="24"/>
          <w:szCs w:val="24"/>
        </w:rPr>
        <w:t>Gambar 1.1</w:t>
      </w:r>
    </w:p>
    <w:p w:rsidR="00DB017D" w:rsidRPr="007B7B85" w:rsidRDefault="00DB017D" w:rsidP="00DB017D">
      <w:pPr>
        <w:pStyle w:val="ListParagraph"/>
        <w:spacing w:line="360" w:lineRule="auto"/>
        <w:ind w:left="90" w:hanging="90"/>
        <w:jc w:val="both"/>
        <w:rPr>
          <w:rFonts w:ascii="Times New Roman" w:hAnsi="Times New Roman" w:cs="Times New Roman"/>
          <w:sz w:val="24"/>
          <w:szCs w:val="24"/>
        </w:rPr>
      </w:pPr>
      <w:r w:rsidRPr="007B7B85">
        <w:rPr>
          <w:rFonts w:ascii="Times New Roman" w:hAnsi="Times New Roman" w:cs="Times New Roman"/>
          <w:sz w:val="24"/>
          <w:szCs w:val="24"/>
        </w:rPr>
        <w:t>Kinerja Keuangan Bank sesudah merger periode 2012-2015 OCBC NISP</w:t>
      </w:r>
    </w:p>
    <w:p w:rsidR="00DB017D" w:rsidRPr="007B7B85" w:rsidRDefault="00DB017D" w:rsidP="00DB017D">
      <w:pPr>
        <w:pStyle w:val="ListParagraph"/>
        <w:spacing w:line="360" w:lineRule="auto"/>
        <w:ind w:left="360" w:firstLine="633"/>
        <w:jc w:val="both"/>
        <w:rPr>
          <w:rFonts w:ascii="Times New Roman" w:hAnsi="Times New Roman" w:cs="Times New Roman"/>
          <w:b/>
          <w:sz w:val="24"/>
          <w:szCs w:val="24"/>
        </w:rPr>
      </w:pPr>
      <w:r w:rsidRPr="007B7B85">
        <w:rPr>
          <w:rFonts w:ascii="Times New Roman" w:hAnsi="Times New Roman" w:cs="Times New Roman"/>
          <w:b/>
          <w:noProof/>
          <w:sz w:val="24"/>
          <w:szCs w:val="24"/>
          <w:lang w:eastAsia="id-ID"/>
        </w:rPr>
        <w:drawing>
          <wp:inline distT="0" distB="0" distL="0" distR="0" wp14:anchorId="46618B79" wp14:editId="27306DFC">
            <wp:extent cx="3847605" cy="2006929"/>
            <wp:effectExtent l="19050" t="0" r="195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017D" w:rsidRPr="007B7B85" w:rsidRDefault="00DB017D" w:rsidP="00DB017D">
      <w:pPr>
        <w:pStyle w:val="ListParagraph"/>
        <w:spacing w:line="360" w:lineRule="auto"/>
        <w:ind w:left="360" w:firstLine="633"/>
        <w:jc w:val="both"/>
        <w:rPr>
          <w:rFonts w:ascii="Times New Roman" w:hAnsi="Times New Roman" w:cs="Times New Roman"/>
          <w:sz w:val="24"/>
          <w:szCs w:val="24"/>
        </w:rPr>
      </w:pPr>
      <w:r w:rsidRPr="007B7B85">
        <w:rPr>
          <w:rFonts w:ascii="Times New Roman" w:hAnsi="Times New Roman" w:cs="Times New Roman"/>
          <w:sz w:val="24"/>
          <w:szCs w:val="24"/>
        </w:rPr>
        <w:t xml:space="preserve">Sumber: </w:t>
      </w:r>
      <w:hyperlink r:id="rId10" w:history="1">
        <w:r w:rsidRPr="007B7B85">
          <w:rPr>
            <w:rStyle w:val="Hyperlink"/>
            <w:rFonts w:ascii="Times New Roman" w:hAnsi="Times New Roman" w:cs="Times New Roman"/>
            <w:sz w:val="24"/>
            <w:szCs w:val="24"/>
          </w:rPr>
          <w:t>www.idx.com</w:t>
        </w:r>
      </w:hyperlink>
      <w:r w:rsidRPr="007B7B85">
        <w:rPr>
          <w:rFonts w:ascii="Times New Roman" w:hAnsi="Times New Roman" w:cs="Times New Roman"/>
          <w:sz w:val="24"/>
          <w:szCs w:val="24"/>
        </w:rPr>
        <w:t>, data diolah, 2017</w:t>
      </w:r>
    </w:p>
    <w:p w:rsidR="00DB017D" w:rsidRPr="00012820" w:rsidRDefault="00DB017D" w:rsidP="00DB017D">
      <w:pPr>
        <w:pStyle w:val="ListParagraph"/>
        <w:spacing w:line="360" w:lineRule="auto"/>
        <w:ind w:left="0" w:firstLine="720"/>
        <w:jc w:val="both"/>
        <w:rPr>
          <w:rFonts w:ascii="Times New Roman" w:hAnsi="Times New Roman" w:cs="Times New Roman"/>
          <w:sz w:val="24"/>
          <w:szCs w:val="24"/>
        </w:rPr>
      </w:pPr>
      <w:r w:rsidRPr="00012820">
        <w:rPr>
          <w:rFonts w:ascii="Times New Roman" w:hAnsi="Times New Roman" w:cs="Times New Roman"/>
          <w:sz w:val="24"/>
          <w:szCs w:val="24"/>
        </w:rPr>
        <w:t xml:space="preserve">Dapat dilihat pada Tabel 1.1 dari kinerja keuangan pada Bank OCBC NISP pada tahun 2009 hingga tahun 2011 sebelum merger dan kinerja keuangan 2012 -2014 setelah merger. Keadaan  kinerja keuangan dilihat dari nilai NPM mengalami peningkatan pada tahun 2009-2011 sedangkan Nilai ROA dan ROE pada tahun 2009-2011 mengalami fluktuatif. Untuk nilai CR pada tahun 2009-2011 mengalami penurunan nilai. untuk nilai debtratio dari tahun 2009-2011 mengalami penurunan nilai. Keadaan kinerja keuangan yang dilihat dari nilai rasio NPM, ROA, ROE, </w:t>
      </w:r>
      <w:r w:rsidRPr="00012820">
        <w:rPr>
          <w:rFonts w:ascii="Times New Roman" w:hAnsi="Times New Roman" w:cs="Times New Roman"/>
          <w:sz w:val="24"/>
          <w:szCs w:val="24"/>
        </w:rPr>
        <w:lastRenderedPageBreak/>
        <w:t xml:space="preserve">CR dan debt rasio mengalami fluktuatif nilai. Melihat rasio keuangan tersebut </w:t>
      </w:r>
      <w:r w:rsidRPr="00012820">
        <w:rPr>
          <w:rFonts w:ascii="Times New Roman" w:hAnsi="Times New Roman" w:cs="Times New Roman"/>
          <w:i/>
          <w:iCs/>
          <w:sz w:val="24"/>
          <w:szCs w:val="24"/>
        </w:rPr>
        <w:t xml:space="preserve">merger </w:t>
      </w:r>
      <w:r w:rsidRPr="00012820">
        <w:rPr>
          <w:rFonts w:ascii="Times New Roman" w:hAnsi="Times New Roman" w:cs="Times New Roman"/>
          <w:sz w:val="24"/>
          <w:szCs w:val="24"/>
        </w:rPr>
        <w:t xml:space="preserve">akan memudahkan perusahaan untuk melakukan diversifikasi dan ekspansi usaha daripada dengan mengembangkan atau membuka pasar sendiri yang membutuhkan waktu relatif lebih lama, biaya yang besar serta resiko yang tinggi. Selain itu, dengan melakukan </w:t>
      </w:r>
      <w:r w:rsidRPr="00012820">
        <w:rPr>
          <w:rFonts w:ascii="Times New Roman" w:hAnsi="Times New Roman" w:cs="Times New Roman"/>
          <w:i/>
          <w:iCs/>
          <w:sz w:val="24"/>
          <w:szCs w:val="24"/>
        </w:rPr>
        <w:t xml:space="preserve">merger </w:t>
      </w:r>
      <w:r w:rsidRPr="00012820">
        <w:rPr>
          <w:rFonts w:ascii="Times New Roman" w:hAnsi="Times New Roman" w:cs="Times New Roman"/>
          <w:sz w:val="24"/>
          <w:szCs w:val="24"/>
        </w:rPr>
        <w:t>akan dapat meningkatkan kekuatan yang dimiliki oleh perusahaan sehingga dapat meningkatkan skala dan ruang lingkup ekonomi, sehingga dengan merger akan meningkatkan kinerja keuangan dan efektivitas perusahaan sesuai dengan tujuan yang ditetapkan dalam penggabungan usaha.</w:t>
      </w:r>
    </w:p>
    <w:p w:rsidR="00DB017D" w:rsidRPr="00665D91" w:rsidRDefault="00DB017D" w:rsidP="00DB017D">
      <w:pPr>
        <w:pStyle w:val="ListParagraph"/>
        <w:spacing w:line="360" w:lineRule="auto"/>
        <w:ind w:left="0" w:firstLine="720"/>
        <w:jc w:val="both"/>
        <w:rPr>
          <w:rFonts w:ascii="Times New Roman" w:hAnsi="Times New Roman" w:cs="Times New Roman"/>
          <w:sz w:val="24"/>
          <w:szCs w:val="24"/>
          <w:lang w:val="en-US"/>
        </w:rPr>
      </w:pPr>
      <w:r w:rsidRPr="00012820">
        <w:rPr>
          <w:rFonts w:ascii="Times New Roman" w:hAnsi="Times New Roman" w:cs="Times New Roman"/>
          <w:sz w:val="24"/>
          <w:szCs w:val="24"/>
        </w:rPr>
        <w:t>Kinerja keuang</w:t>
      </w:r>
      <w:r>
        <w:rPr>
          <w:rFonts w:ascii="Times New Roman" w:hAnsi="Times New Roman" w:cs="Times New Roman"/>
          <w:sz w:val="24"/>
          <w:szCs w:val="24"/>
        </w:rPr>
        <w:t>an</w:t>
      </w:r>
      <w:r w:rsidRPr="00012820">
        <w:rPr>
          <w:rFonts w:ascii="Times New Roman" w:hAnsi="Times New Roman" w:cs="Times New Roman"/>
          <w:sz w:val="24"/>
          <w:szCs w:val="24"/>
        </w:rPr>
        <w:t xml:space="preserve"> setelah dilakukan merger pada tahun 2012 – 2014 nilai NPM mengalami fluktuatif nilai. Rasio ROA dan ROE pada tahun 2012-2014 kedua rasio mengalami peningkatan nilai. sedangkan pada tahun 2012-2014 nilai CR mengalami fluktuatif nilai, untuk nilai debt rasio mengalami penurunan nilai.</w:t>
      </w:r>
      <w:r>
        <w:rPr>
          <w:rFonts w:ascii="Times New Roman" w:hAnsi="Times New Roman" w:cs="Times New Roman"/>
          <w:sz w:val="24"/>
          <w:szCs w:val="24"/>
          <w:lang w:val="en-US"/>
        </w:rPr>
        <w:t xml:space="preserve"> </w:t>
      </w:r>
      <w:r w:rsidRPr="00012820">
        <w:rPr>
          <w:rFonts w:ascii="Times New Roman" w:hAnsi="Times New Roman" w:cs="Times New Roman"/>
          <w:sz w:val="24"/>
          <w:szCs w:val="24"/>
        </w:rPr>
        <w:t>Pasca merger bukan berarti masalah selesai, dinamika apresiatif dalam pelaksanaannya selalu dievaluasi dan dikaji ulang, kebijakan yang baik dimaksudkan untuk menciptakan peluang ekonomis yang lebih besar, namun perlunya mencermati sinyalemen seperti yang disampaikan, adanya sitem manajemen yang baru dengan tekanan pada efisiensi biaya namun justru yang terjadi pembengkaan biaya maupun justru menjadi hambatan operasional, serta adanya merger untuk mendatangkan kesehatan baru.  Kinerja keuangan sebelum melakukan merger dengan sesudah melakukan merger untuk masing-masing indikator kinerja keuangan fluktuatif, akan tetapi nilai  indikator keuangan pada tahun terakhir lebih tinggi. Hal ini dikarenakan aset Bank OCBC NISP meningkat pasca merger.</w:t>
      </w:r>
    </w:p>
    <w:p w:rsidR="00DB017D" w:rsidRPr="007B7B85" w:rsidRDefault="00DB017D" w:rsidP="00DB017D">
      <w:pPr>
        <w:pStyle w:val="ListParagraph"/>
        <w:spacing w:line="360" w:lineRule="auto"/>
        <w:ind w:left="0" w:firstLine="720"/>
        <w:jc w:val="both"/>
        <w:rPr>
          <w:rFonts w:ascii="Times New Roman" w:hAnsi="Times New Roman" w:cs="Times New Roman"/>
          <w:color w:val="000000" w:themeColor="text1"/>
          <w:sz w:val="24"/>
          <w:szCs w:val="24"/>
        </w:rPr>
      </w:pPr>
      <w:r w:rsidRPr="007B7B85">
        <w:rPr>
          <w:rFonts w:ascii="Times New Roman" w:hAnsi="Times New Roman" w:cs="Times New Roman"/>
          <w:sz w:val="24"/>
          <w:szCs w:val="24"/>
        </w:rPr>
        <w:t>Keputusan penggabungan usaha yang dilakukan oleh Bank OCBC NISP sesuai yang tercantum dalam latar belakang merger Bank OCBC NISP dan Bank OCBC Indonesia adalah “</w:t>
      </w:r>
      <w:r w:rsidRPr="007B7B85">
        <w:rPr>
          <w:rFonts w:ascii="Times New Roman" w:hAnsi="Times New Roman" w:cs="Times New Roman"/>
          <w:color w:val="000000" w:themeColor="text1"/>
          <w:sz w:val="24"/>
          <w:szCs w:val="24"/>
        </w:rPr>
        <w:t xml:space="preserve">Perekonomian Indonesia secara keseluruhan memasuki periode percepatan pertumbuhan yang positif pada tahun 2010. Perkembangan ini mendorong optimisme perbankan di tanah air untuk terus melakukan ekspansi kegiatan usahanya tanpa terkecuali Bank OCBC NISP. Berdasarkan </w:t>
      </w:r>
      <w:r w:rsidRPr="007B7B85">
        <w:rPr>
          <w:rFonts w:ascii="Times New Roman" w:hAnsi="Times New Roman" w:cs="Times New Roman"/>
          <w:i/>
          <w:color w:val="000000" w:themeColor="text1"/>
          <w:sz w:val="24"/>
          <w:szCs w:val="24"/>
        </w:rPr>
        <w:t>annualreport</w:t>
      </w:r>
      <w:r w:rsidRPr="007B7B85">
        <w:rPr>
          <w:rFonts w:ascii="Times New Roman" w:hAnsi="Times New Roman" w:cs="Times New Roman"/>
          <w:color w:val="000000" w:themeColor="text1"/>
          <w:sz w:val="24"/>
          <w:szCs w:val="24"/>
        </w:rPr>
        <w:t xml:space="preserve"> tahun 2010 </w:t>
      </w:r>
      <w:r w:rsidRPr="007B7B85">
        <w:rPr>
          <w:rFonts w:ascii="Times New Roman" w:hAnsi="Times New Roman" w:cs="Times New Roman"/>
          <w:sz w:val="24"/>
          <w:szCs w:val="24"/>
        </w:rPr>
        <w:t xml:space="preserve">OCBC-NISP </w:t>
      </w:r>
      <w:r w:rsidRPr="007B7B85">
        <w:rPr>
          <w:rFonts w:ascii="Times New Roman" w:hAnsi="Times New Roman" w:cs="Times New Roman"/>
          <w:sz w:val="24"/>
          <w:szCs w:val="24"/>
        </w:rPr>
        <w:lastRenderedPageBreak/>
        <w:t>(2010)</w:t>
      </w:r>
      <w:r w:rsidRPr="007B7B85">
        <w:rPr>
          <w:rFonts w:ascii="Times New Roman" w:hAnsi="Times New Roman" w:cs="Times New Roman"/>
          <w:color w:val="000000" w:themeColor="text1"/>
          <w:sz w:val="24"/>
          <w:szCs w:val="24"/>
        </w:rPr>
        <w:t>Direksi melakukan kajian awal dan mengambil kesimpulan bahwa penggabungan didasarkan atas:</w:t>
      </w:r>
    </w:p>
    <w:p w:rsidR="00DB017D" w:rsidRPr="00040C13" w:rsidRDefault="00DB017D" w:rsidP="00DB017D">
      <w:pPr>
        <w:pStyle w:val="ListParagraph"/>
        <w:numPr>
          <w:ilvl w:val="0"/>
          <w:numId w:val="2"/>
        </w:numPr>
        <w:autoSpaceDE w:val="0"/>
        <w:autoSpaceDN w:val="0"/>
        <w:adjustRightInd w:val="0"/>
        <w:spacing w:after="0" w:line="360" w:lineRule="auto"/>
        <w:ind w:left="540" w:hanging="540"/>
        <w:jc w:val="both"/>
        <w:rPr>
          <w:rFonts w:ascii="Times New Roman" w:hAnsi="Times New Roman" w:cs="Times New Roman"/>
          <w:sz w:val="24"/>
          <w:szCs w:val="24"/>
        </w:rPr>
      </w:pPr>
      <w:r w:rsidRPr="007B7B85">
        <w:rPr>
          <w:rFonts w:ascii="Times New Roman" w:hAnsi="Times New Roman" w:cs="Times New Roman"/>
          <w:sz w:val="24"/>
          <w:szCs w:val="24"/>
        </w:rPr>
        <w:t>Penggabungan untuk</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beroperasi sebagai satu badan hukum tunggal dengan</w:t>
      </w:r>
    </w:p>
    <w:p w:rsidR="00DB017D" w:rsidRPr="007B7B85" w:rsidRDefault="00DB017D" w:rsidP="00DB017D">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7B7B85">
        <w:rPr>
          <w:rFonts w:ascii="Times New Roman" w:hAnsi="Times New Roman" w:cs="Times New Roman"/>
          <w:sz w:val="24"/>
          <w:szCs w:val="24"/>
        </w:rPr>
        <w:t>sinergi pendapatan, biaya dan operasional sehari-hari;</w:t>
      </w:r>
    </w:p>
    <w:p w:rsidR="00DB017D" w:rsidRPr="007B7B85" w:rsidRDefault="00DB017D" w:rsidP="00DB017D">
      <w:pPr>
        <w:pStyle w:val="ListParagraph"/>
        <w:numPr>
          <w:ilvl w:val="0"/>
          <w:numId w:val="2"/>
        </w:numPr>
        <w:autoSpaceDE w:val="0"/>
        <w:autoSpaceDN w:val="0"/>
        <w:adjustRightInd w:val="0"/>
        <w:spacing w:after="0" w:line="360" w:lineRule="auto"/>
        <w:ind w:left="540" w:hanging="540"/>
        <w:jc w:val="both"/>
        <w:rPr>
          <w:rFonts w:ascii="Times New Roman" w:hAnsi="Times New Roman" w:cs="Times New Roman"/>
          <w:sz w:val="24"/>
          <w:szCs w:val="24"/>
        </w:rPr>
      </w:pPr>
      <w:r w:rsidRPr="007B7B85">
        <w:rPr>
          <w:rFonts w:ascii="Times New Roman" w:hAnsi="Times New Roman" w:cs="Times New Roman"/>
          <w:sz w:val="24"/>
          <w:szCs w:val="24"/>
        </w:rPr>
        <w:t>Menghilangkan kerancuan diantara para nasabah dan</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pihak yang berwenang sehubungan penggunaan nama OCBC secara bersama-sama oleh Bank OCBC NISP maupunBank OCBC Indonesia;</w:t>
      </w:r>
    </w:p>
    <w:p w:rsidR="00DB017D" w:rsidRPr="007B7B85" w:rsidRDefault="00DB017D" w:rsidP="00DB017D">
      <w:pPr>
        <w:pStyle w:val="ListParagraph"/>
        <w:numPr>
          <w:ilvl w:val="0"/>
          <w:numId w:val="2"/>
        </w:numPr>
        <w:autoSpaceDE w:val="0"/>
        <w:autoSpaceDN w:val="0"/>
        <w:adjustRightInd w:val="0"/>
        <w:spacing w:after="0" w:line="360" w:lineRule="auto"/>
        <w:ind w:left="540" w:hanging="540"/>
        <w:jc w:val="both"/>
        <w:rPr>
          <w:rFonts w:ascii="Times New Roman" w:hAnsi="Times New Roman" w:cs="Times New Roman"/>
          <w:sz w:val="24"/>
          <w:szCs w:val="24"/>
        </w:rPr>
      </w:pPr>
      <w:r w:rsidRPr="007B7B85">
        <w:rPr>
          <w:rFonts w:ascii="Times New Roman" w:hAnsi="Times New Roman" w:cs="Times New Roman"/>
          <w:sz w:val="24"/>
          <w:szCs w:val="24"/>
        </w:rPr>
        <w:t>Menciptakan sinergi bisnis dimana dengan penggabungan</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(merger) ini menyatukan kekuatan Bank OCBC NISP di bidangpembiayaan konsumen dan komersil dengan kekuatan BankOCBC Indonesia di bidang pembiayaan korporasi sehinggadapat melayani berbagai jenis segmentasi nasabah denganmenyediakan produk dan jasa yang lebih lengkap danmenyeluruh termasuk di dalamnya produk kredit, tradebanking, treasury, investment banking dan pembiayaanberbasis aset;</w:t>
      </w:r>
    </w:p>
    <w:p w:rsidR="00DB017D" w:rsidRPr="007B7B85" w:rsidRDefault="00DB017D" w:rsidP="00DB017D">
      <w:pPr>
        <w:pStyle w:val="ListParagraph"/>
        <w:numPr>
          <w:ilvl w:val="0"/>
          <w:numId w:val="2"/>
        </w:numPr>
        <w:autoSpaceDE w:val="0"/>
        <w:autoSpaceDN w:val="0"/>
        <w:adjustRightInd w:val="0"/>
        <w:spacing w:after="0" w:line="360" w:lineRule="auto"/>
        <w:ind w:left="540" w:hanging="540"/>
        <w:jc w:val="both"/>
        <w:rPr>
          <w:rFonts w:ascii="Times New Roman" w:hAnsi="Times New Roman" w:cs="Times New Roman"/>
          <w:sz w:val="24"/>
          <w:szCs w:val="24"/>
        </w:rPr>
      </w:pPr>
      <w:r w:rsidRPr="007B7B85">
        <w:rPr>
          <w:rFonts w:ascii="Times New Roman" w:hAnsi="Times New Roman" w:cs="Times New Roman"/>
          <w:sz w:val="24"/>
          <w:szCs w:val="24"/>
        </w:rPr>
        <w:t>Menghasilkan sebuah bank yang lebih kokoh dan berdayasaing tinggi di tengah-tengah persaingan perbankan yangkian kompetitif;</w:t>
      </w:r>
    </w:p>
    <w:p w:rsidR="00DB017D" w:rsidRPr="007B7B85" w:rsidRDefault="00DB017D" w:rsidP="00DB017D">
      <w:pPr>
        <w:pStyle w:val="ListParagraph"/>
        <w:numPr>
          <w:ilvl w:val="0"/>
          <w:numId w:val="2"/>
        </w:numPr>
        <w:autoSpaceDE w:val="0"/>
        <w:autoSpaceDN w:val="0"/>
        <w:adjustRightInd w:val="0"/>
        <w:spacing w:after="0" w:line="360" w:lineRule="auto"/>
        <w:ind w:left="540" w:hanging="540"/>
        <w:jc w:val="both"/>
        <w:rPr>
          <w:rFonts w:ascii="Times New Roman" w:hAnsi="Times New Roman" w:cs="Times New Roman"/>
          <w:sz w:val="24"/>
          <w:szCs w:val="24"/>
        </w:rPr>
      </w:pPr>
      <w:r w:rsidRPr="007B7B85">
        <w:rPr>
          <w:rFonts w:ascii="Times New Roman" w:hAnsi="Times New Roman" w:cs="Times New Roman"/>
          <w:sz w:val="24"/>
          <w:szCs w:val="24"/>
        </w:rPr>
        <w:t>Memberikan nilai yang positif bagi semua pemegang</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saham, manajemen dan karyawan, maupun bagi</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keseluruhan industri perbankan di Indonesia.</w:t>
      </w:r>
    </w:p>
    <w:p w:rsidR="00DB017D" w:rsidRPr="007B7B85" w:rsidRDefault="00DB017D" w:rsidP="00DB017D">
      <w:pPr>
        <w:pStyle w:val="ListParagraph"/>
        <w:tabs>
          <w:tab w:val="left" w:pos="0"/>
        </w:tabs>
        <w:spacing w:line="360" w:lineRule="auto"/>
        <w:ind w:left="0" w:firstLine="720"/>
        <w:jc w:val="both"/>
        <w:rPr>
          <w:rFonts w:ascii="Times New Roman" w:hAnsi="Times New Roman" w:cs="Times New Roman"/>
          <w:sz w:val="24"/>
          <w:szCs w:val="24"/>
        </w:rPr>
      </w:pPr>
      <w:r w:rsidRPr="007B7B85">
        <w:rPr>
          <w:rFonts w:ascii="Times New Roman" w:hAnsi="Times New Roman" w:cs="Times New Roman"/>
          <w:color w:val="000000" w:themeColor="text1"/>
          <w:sz w:val="24"/>
          <w:szCs w:val="24"/>
        </w:rPr>
        <w:t>Perkembangan tersebut menciptakan momentum yang tepat untuk melakukan penggabungan usaha (merger) Bank OCBC NISP dan Bank OCBC Indonesia guna mencapai visi untuk menjadi Bank pilihan dengan standar dunia yang diakui kepeduliannya dan terpercaya.</w:t>
      </w:r>
      <w:r>
        <w:rPr>
          <w:rFonts w:ascii="Times New Roman" w:hAnsi="Times New Roman" w:cs="Times New Roman"/>
          <w:color w:val="000000" w:themeColor="text1"/>
          <w:sz w:val="24"/>
          <w:szCs w:val="24"/>
          <w:lang w:val="en-US"/>
        </w:rPr>
        <w:t xml:space="preserve"> </w:t>
      </w:r>
      <w:r w:rsidRPr="007B7B85">
        <w:rPr>
          <w:rFonts w:ascii="Times New Roman" w:hAnsi="Times New Roman" w:cs="Times New Roman"/>
          <w:color w:val="000000" w:themeColor="text1"/>
          <w:sz w:val="24"/>
          <w:szCs w:val="24"/>
        </w:rPr>
        <w:t xml:space="preserve">Latar belakang merger diatas menunjukan bahwa </w:t>
      </w:r>
      <w:r w:rsidRPr="007B7B85">
        <w:rPr>
          <w:rFonts w:ascii="Times New Roman" w:hAnsi="Times New Roman" w:cs="Times New Roman"/>
          <w:sz w:val="24"/>
          <w:szCs w:val="24"/>
        </w:rPr>
        <w:t>strategi merger diperlukan, terutama untuk meningkatkan daya saing, memperoleh pangsa pasar yang lebih besar, mempertahankan ekstitensi, memperluas portofolio untuk mengurangi risiko bisnis, untuk memasuki pasar, dan memanfaatkan skala ekonomi. Merger akan semakin marak mengingat persaingan yang ketat, ekspansi bank besar dan tekanan dari Bank Indonesia sebagai otoritas perbankan yang berencana mempercepat konsolidasi perbankan.</w:t>
      </w:r>
    </w:p>
    <w:p w:rsidR="00DB017D" w:rsidRPr="007B7B85" w:rsidRDefault="00DB017D" w:rsidP="00DB017D">
      <w:pPr>
        <w:pStyle w:val="ListParagraph"/>
        <w:spacing w:line="360" w:lineRule="auto"/>
        <w:ind w:left="0" w:firstLine="720"/>
        <w:jc w:val="both"/>
        <w:rPr>
          <w:rFonts w:ascii="Times New Roman" w:hAnsi="Times New Roman" w:cs="Times New Roman"/>
          <w:sz w:val="24"/>
          <w:szCs w:val="24"/>
          <w:lang w:val="en-US"/>
        </w:rPr>
      </w:pPr>
      <w:r w:rsidRPr="007B7B85">
        <w:rPr>
          <w:rFonts w:ascii="Times New Roman" w:hAnsi="Times New Roman" w:cs="Times New Roman"/>
          <w:sz w:val="24"/>
          <w:szCs w:val="24"/>
        </w:rPr>
        <w:lastRenderedPageBreak/>
        <w:t xml:space="preserve">Dalam melakukan penilaian atas tingkat kesehatan </w:t>
      </w:r>
      <w:r w:rsidRPr="007B7B85">
        <w:rPr>
          <w:rFonts w:ascii="Times New Roman" w:hAnsi="Times New Roman" w:cs="Times New Roman"/>
          <w:sz w:val="24"/>
          <w:szCs w:val="24"/>
          <w:lang w:val="en-US"/>
        </w:rPr>
        <w:t xml:space="preserve"> b</w:t>
      </w:r>
      <w:r w:rsidRPr="007B7B85">
        <w:rPr>
          <w:rFonts w:ascii="Times New Roman" w:hAnsi="Times New Roman" w:cs="Times New Roman"/>
          <w:sz w:val="24"/>
          <w:szCs w:val="24"/>
        </w:rPr>
        <w:t xml:space="preserve">ank pada dasarnya dilakukan dengan pendekatan kuantitatif atas faktor yang berpengaruh terhadap kondisi perkembangan suatu bank, terutama pada kondisi </w:t>
      </w:r>
      <w:r>
        <w:rPr>
          <w:rFonts w:ascii="Times New Roman" w:hAnsi="Times New Roman" w:cs="Times New Roman"/>
          <w:sz w:val="24"/>
          <w:szCs w:val="24"/>
        </w:rPr>
        <w:t>pertumbuhan keuangan perbankan.</w:t>
      </w:r>
    </w:p>
    <w:p w:rsidR="00DB017D" w:rsidRPr="007B7B85" w:rsidRDefault="00DB017D" w:rsidP="00DB017D">
      <w:pPr>
        <w:pStyle w:val="ListParagraph"/>
        <w:numPr>
          <w:ilvl w:val="1"/>
          <w:numId w:val="3"/>
        </w:numPr>
        <w:spacing w:line="360" w:lineRule="auto"/>
        <w:ind w:left="720" w:hanging="720"/>
        <w:jc w:val="both"/>
        <w:rPr>
          <w:rFonts w:ascii="Times New Roman" w:hAnsi="Times New Roman" w:cs="Times New Roman"/>
          <w:b/>
          <w:sz w:val="24"/>
          <w:szCs w:val="24"/>
        </w:rPr>
      </w:pPr>
      <w:r w:rsidRPr="007B7B85">
        <w:rPr>
          <w:rFonts w:ascii="Times New Roman" w:hAnsi="Times New Roman" w:cs="Times New Roman"/>
          <w:b/>
          <w:sz w:val="24"/>
          <w:szCs w:val="24"/>
        </w:rPr>
        <w:t>Rumusan Masalah</w:t>
      </w:r>
    </w:p>
    <w:p w:rsidR="00DB017D" w:rsidRPr="007B7B85" w:rsidRDefault="00DB017D" w:rsidP="00DB017D">
      <w:pPr>
        <w:pStyle w:val="Default"/>
        <w:spacing w:line="360" w:lineRule="auto"/>
        <w:ind w:firstLine="720"/>
        <w:jc w:val="both"/>
        <w:rPr>
          <w:lang w:val="en-US"/>
        </w:rPr>
      </w:pPr>
      <w:r w:rsidRPr="007B7B85">
        <w:t>Keputusan merger pada sebuah perusahaan belum tentu mendapatkan keberhasilan. Keberhasilan merger tersebut dapat dikatakan jika tujuan dilaksanakannya merger dapat tercapai dan dapat memberikan manfaat bagi perusahaan. Berdasarkan latar belakang yang telah diuraikan, maka penulis akan merumuskan permasalahan sebagai berikut:</w:t>
      </w:r>
    </w:p>
    <w:p w:rsidR="00DB017D" w:rsidRPr="007B7B85" w:rsidRDefault="00DB017D" w:rsidP="00DB017D">
      <w:pPr>
        <w:pStyle w:val="Default"/>
        <w:numPr>
          <w:ilvl w:val="0"/>
          <w:numId w:val="4"/>
        </w:numPr>
        <w:spacing w:line="360" w:lineRule="auto"/>
        <w:ind w:left="720" w:hanging="720"/>
        <w:jc w:val="both"/>
      </w:pPr>
      <w:r w:rsidRPr="007B7B85">
        <w:t>Apakah terjadi perbedaan yang signifikan</w:t>
      </w:r>
      <w:r>
        <w:rPr>
          <w:lang w:val="en-US"/>
        </w:rPr>
        <w:t xml:space="preserve"> </w:t>
      </w:r>
      <w:r w:rsidRPr="007B7B85">
        <w:rPr>
          <w:i/>
          <w:iCs/>
        </w:rPr>
        <w:t xml:space="preserve">Net Profit Margin </w:t>
      </w:r>
      <w:r w:rsidRPr="007B7B85">
        <w:t>dari perusahaan sebelum dan sesudah merger pada</w:t>
      </w:r>
      <w:r>
        <w:rPr>
          <w:lang w:val="en-US"/>
        </w:rPr>
        <w:t xml:space="preserve"> </w:t>
      </w:r>
      <w:r w:rsidRPr="007B7B85">
        <w:t>PT</w:t>
      </w:r>
      <w:r w:rsidRPr="007B7B85">
        <w:rPr>
          <w:lang w:val="en-US"/>
        </w:rPr>
        <w:t xml:space="preserve">. </w:t>
      </w:r>
      <w:r w:rsidRPr="007B7B85">
        <w:t>Bank OCBC NISP, Tbk?</w:t>
      </w:r>
    </w:p>
    <w:p w:rsidR="00DB017D" w:rsidRPr="007B7B85" w:rsidRDefault="00DB017D" w:rsidP="00DB017D">
      <w:pPr>
        <w:pStyle w:val="Default"/>
        <w:numPr>
          <w:ilvl w:val="0"/>
          <w:numId w:val="4"/>
        </w:numPr>
        <w:spacing w:line="360" w:lineRule="auto"/>
        <w:ind w:left="720" w:hanging="720"/>
        <w:jc w:val="both"/>
      </w:pPr>
      <w:r w:rsidRPr="007B7B85">
        <w:t>Apakah terjadi perbedaan yang signifikan</w:t>
      </w:r>
      <w:r>
        <w:rPr>
          <w:lang w:val="en-US"/>
        </w:rPr>
        <w:t xml:space="preserve"> </w:t>
      </w:r>
      <w:r w:rsidRPr="007B7B85">
        <w:rPr>
          <w:i/>
          <w:iCs/>
        </w:rPr>
        <w:t xml:space="preserve">Return On Asset </w:t>
      </w:r>
      <w:r w:rsidRPr="007B7B85">
        <w:t>dari perusahaan sebelum dan sesudah mergerpada</w:t>
      </w:r>
      <w:r>
        <w:rPr>
          <w:lang w:val="en-US"/>
        </w:rPr>
        <w:t xml:space="preserve"> </w:t>
      </w:r>
      <w:r w:rsidRPr="007B7B85">
        <w:t>PT</w:t>
      </w:r>
      <w:r w:rsidRPr="007B7B85">
        <w:rPr>
          <w:lang w:val="en-US"/>
        </w:rPr>
        <w:t xml:space="preserve">. </w:t>
      </w:r>
      <w:r w:rsidRPr="007B7B85">
        <w:t xml:space="preserve">Bank OCBC NISP, Tbk? </w:t>
      </w:r>
    </w:p>
    <w:p w:rsidR="00DB017D" w:rsidRPr="007B7B85" w:rsidRDefault="00DB017D" w:rsidP="00DB017D">
      <w:pPr>
        <w:pStyle w:val="Default"/>
        <w:numPr>
          <w:ilvl w:val="0"/>
          <w:numId w:val="4"/>
        </w:numPr>
        <w:spacing w:line="360" w:lineRule="auto"/>
        <w:ind w:left="720" w:hanging="720"/>
        <w:jc w:val="both"/>
      </w:pPr>
      <w:r w:rsidRPr="007B7B85">
        <w:t>Apakah terjadi perbedaan yang signifikan</w:t>
      </w:r>
      <w:r>
        <w:rPr>
          <w:lang w:val="en-US"/>
        </w:rPr>
        <w:t xml:space="preserve"> </w:t>
      </w:r>
      <w:r w:rsidRPr="007B7B85">
        <w:rPr>
          <w:i/>
          <w:iCs/>
        </w:rPr>
        <w:t xml:space="preserve">Return On Equity </w:t>
      </w:r>
      <w:r w:rsidRPr="007B7B85">
        <w:t>dari perusahaan sebelum dan sesudah merger pada</w:t>
      </w:r>
      <w:r>
        <w:rPr>
          <w:lang w:val="en-US"/>
        </w:rPr>
        <w:t xml:space="preserve"> </w:t>
      </w:r>
      <w:r w:rsidRPr="007B7B85">
        <w:t>PT</w:t>
      </w:r>
      <w:r w:rsidRPr="007B7B85">
        <w:rPr>
          <w:lang w:val="en-US"/>
        </w:rPr>
        <w:t xml:space="preserve">. </w:t>
      </w:r>
      <w:r w:rsidRPr="007B7B85">
        <w:t>Bank OCBC NISP, Tbk?</w:t>
      </w:r>
    </w:p>
    <w:p w:rsidR="00DB017D" w:rsidRPr="007B7B85" w:rsidRDefault="00DB017D" w:rsidP="00DB017D">
      <w:pPr>
        <w:pStyle w:val="Default"/>
        <w:numPr>
          <w:ilvl w:val="0"/>
          <w:numId w:val="4"/>
        </w:numPr>
        <w:spacing w:line="360" w:lineRule="auto"/>
        <w:ind w:left="720" w:hanging="720"/>
        <w:jc w:val="both"/>
      </w:pPr>
      <w:r w:rsidRPr="007B7B85">
        <w:t>Apakah terjadi perbedaan yang signifikan</w:t>
      </w:r>
      <w:r>
        <w:rPr>
          <w:lang w:val="en-US"/>
        </w:rPr>
        <w:t xml:space="preserve"> </w:t>
      </w:r>
      <w:r w:rsidRPr="007B7B85">
        <w:rPr>
          <w:i/>
          <w:iCs/>
        </w:rPr>
        <w:t xml:space="preserve">Current Ratio </w:t>
      </w:r>
      <w:r w:rsidRPr="007B7B85">
        <w:t>dari perusahaan sebelum dan sesudah mergerpada PT</w:t>
      </w:r>
      <w:r w:rsidRPr="007B7B85">
        <w:rPr>
          <w:lang w:val="en-US"/>
        </w:rPr>
        <w:t xml:space="preserve">. </w:t>
      </w:r>
      <w:r w:rsidRPr="007B7B85">
        <w:t xml:space="preserve">Bank OCBC NISP, Tbk? </w:t>
      </w:r>
    </w:p>
    <w:p w:rsidR="00DB017D" w:rsidRPr="007B7B85" w:rsidRDefault="00DB017D" w:rsidP="00DB017D">
      <w:pPr>
        <w:pStyle w:val="Default"/>
        <w:numPr>
          <w:ilvl w:val="0"/>
          <w:numId w:val="4"/>
        </w:numPr>
        <w:spacing w:line="360" w:lineRule="auto"/>
        <w:ind w:left="720" w:hanging="720"/>
        <w:jc w:val="both"/>
      </w:pPr>
      <w:r w:rsidRPr="007B7B85">
        <w:t>Apakah terjadi perbedaan yang signifikan</w:t>
      </w:r>
      <w:r>
        <w:rPr>
          <w:lang w:val="en-US"/>
        </w:rPr>
        <w:t xml:space="preserve"> </w:t>
      </w:r>
      <w:r w:rsidRPr="007B7B85">
        <w:rPr>
          <w:i/>
          <w:iCs/>
        </w:rPr>
        <w:t xml:space="preserve">Debt Asset Ratio </w:t>
      </w:r>
      <w:r w:rsidRPr="007B7B85">
        <w:t>dari perusahaan sebelum dan sesudah merger pada PT</w:t>
      </w:r>
      <w:r w:rsidRPr="007B7B85">
        <w:rPr>
          <w:lang w:val="en-US"/>
        </w:rPr>
        <w:t xml:space="preserve">. </w:t>
      </w:r>
      <w:r w:rsidRPr="007B7B85">
        <w:t xml:space="preserve">Bank OCBC NISP, Tbk? </w:t>
      </w:r>
    </w:p>
    <w:p w:rsidR="00DB017D" w:rsidRPr="007B7B85" w:rsidRDefault="00DB017D" w:rsidP="00DB017D">
      <w:pPr>
        <w:pStyle w:val="ListParagraph"/>
        <w:spacing w:line="360" w:lineRule="auto"/>
        <w:ind w:left="360"/>
        <w:jc w:val="both"/>
        <w:rPr>
          <w:rFonts w:ascii="Times New Roman" w:hAnsi="Times New Roman" w:cs="Times New Roman"/>
          <w:b/>
          <w:sz w:val="24"/>
          <w:szCs w:val="24"/>
        </w:rPr>
      </w:pPr>
    </w:p>
    <w:p w:rsidR="00DB017D" w:rsidRPr="007B7B85" w:rsidRDefault="00DB017D" w:rsidP="00DB017D">
      <w:pPr>
        <w:pStyle w:val="ListParagraph"/>
        <w:numPr>
          <w:ilvl w:val="1"/>
          <w:numId w:val="3"/>
        </w:numPr>
        <w:tabs>
          <w:tab w:val="left" w:pos="720"/>
        </w:tabs>
        <w:spacing w:line="360" w:lineRule="auto"/>
        <w:ind w:left="540" w:hanging="540"/>
        <w:jc w:val="both"/>
        <w:rPr>
          <w:rFonts w:ascii="Times New Roman" w:hAnsi="Times New Roman" w:cs="Times New Roman"/>
          <w:b/>
          <w:sz w:val="24"/>
          <w:szCs w:val="24"/>
        </w:rPr>
      </w:pPr>
      <w:r w:rsidRPr="007B7B85">
        <w:rPr>
          <w:rFonts w:ascii="Times New Roman" w:hAnsi="Times New Roman" w:cs="Times New Roman"/>
          <w:b/>
          <w:sz w:val="24"/>
          <w:szCs w:val="24"/>
          <w:lang w:val="en-US"/>
        </w:rPr>
        <w:tab/>
      </w:r>
      <w:r w:rsidRPr="007B7B85">
        <w:rPr>
          <w:rFonts w:ascii="Times New Roman" w:hAnsi="Times New Roman" w:cs="Times New Roman"/>
          <w:b/>
          <w:sz w:val="24"/>
          <w:szCs w:val="24"/>
        </w:rPr>
        <w:t>Tujuan penelitian</w:t>
      </w:r>
    </w:p>
    <w:p w:rsidR="00DB017D" w:rsidRPr="007B7B85" w:rsidRDefault="00DB017D" w:rsidP="00DB017D">
      <w:pPr>
        <w:pStyle w:val="ListParagraph"/>
        <w:spacing w:line="360" w:lineRule="auto"/>
        <w:ind w:left="0" w:firstLine="540"/>
        <w:jc w:val="both"/>
        <w:rPr>
          <w:rFonts w:ascii="Times New Roman" w:hAnsi="Times New Roman" w:cs="Times New Roman"/>
          <w:sz w:val="24"/>
          <w:szCs w:val="24"/>
          <w:lang w:val="en-US"/>
        </w:rPr>
      </w:pPr>
      <w:r w:rsidRPr="007B7B85">
        <w:rPr>
          <w:rFonts w:ascii="Times New Roman" w:hAnsi="Times New Roman" w:cs="Times New Roman"/>
          <w:sz w:val="24"/>
          <w:szCs w:val="24"/>
          <w:lang w:val="en-US"/>
        </w:rPr>
        <w:tab/>
      </w:r>
      <w:proofErr w:type="spellStart"/>
      <w:r w:rsidRPr="007B7B85">
        <w:rPr>
          <w:rFonts w:ascii="Times New Roman" w:hAnsi="Times New Roman" w:cs="Times New Roman"/>
          <w:sz w:val="24"/>
          <w:szCs w:val="24"/>
          <w:lang w:val="en-US"/>
        </w:rPr>
        <w:t>Berdasarkan</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rumusan</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masalah</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maka</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dapat</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dirumuskan</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tujuan</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dari</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penelitian</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ini</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adalah</w:t>
      </w:r>
      <w:proofErr w:type="spellEnd"/>
      <w:r w:rsidRPr="007B7B85">
        <w:rPr>
          <w:rFonts w:ascii="Times New Roman" w:hAnsi="Times New Roman" w:cs="Times New Roman"/>
          <w:sz w:val="24"/>
          <w:szCs w:val="24"/>
          <w:lang w:val="en-US"/>
        </w:rPr>
        <w:t>:</w:t>
      </w:r>
    </w:p>
    <w:p w:rsidR="00DB017D" w:rsidRPr="007B7B85" w:rsidRDefault="00DB017D" w:rsidP="00DB017D">
      <w:pPr>
        <w:pStyle w:val="ListParagraph"/>
        <w:numPr>
          <w:ilvl w:val="0"/>
          <w:numId w:val="1"/>
        </w:numPr>
        <w:spacing w:line="360" w:lineRule="auto"/>
        <w:ind w:left="540" w:hanging="540"/>
        <w:jc w:val="both"/>
        <w:rPr>
          <w:rFonts w:ascii="Times New Roman" w:hAnsi="Times New Roman" w:cs="Times New Roman"/>
          <w:sz w:val="24"/>
          <w:szCs w:val="24"/>
          <w:lang w:val="en-US"/>
        </w:rPr>
      </w:pPr>
      <w:r w:rsidRPr="007B7B85">
        <w:rPr>
          <w:rFonts w:ascii="Times New Roman" w:hAnsi="Times New Roman" w:cs="Times New Roman"/>
          <w:sz w:val="24"/>
          <w:szCs w:val="24"/>
          <w:lang w:val="en-US"/>
        </w:rPr>
        <w:tab/>
      </w:r>
      <w:r w:rsidRPr="007B7B85">
        <w:rPr>
          <w:rFonts w:ascii="Times New Roman" w:hAnsi="Times New Roman" w:cs="Times New Roman"/>
          <w:sz w:val="24"/>
          <w:szCs w:val="24"/>
        </w:rPr>
        <w:t xml:space="preserve">Untuk mengetahui ada tidaknya perbedaan </w:t>
      </w:r>
      <w:r w:rsidRPr="007B7B85">
        <w:rPr>
          <w:rFonts w:ascii="Times New Roman" w:hAnsi="Times New Roman" w:cs="Times New Roman"/>
          <w:i/>
          <w:iCs/>
          <w:sz w:val="24"/>
          <w:szCs w:val="24"/>
        </w:rPr>
        <w:t xml:space="preserve">Net Profit Margin </w:t>
      </w:r>
      <w:r w:rsidRPr="007B7B85">
        <w:rPr>
          <w:rFonts w:ascii="Times New Roman" w:hAnsi="Times New Roman" w:cs="Times New Roman"/>
          <w:sz w:val="24"/>
          <w:szCs w:val="24"/>
        </w:rPr>
        <w:t xml:space="preserve">dari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 xml:space="preserve">perusahaan sebelum dan sesudah merger pada PT. Bank OCBC NISP,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Tbk</w:t>
      </w:r>
      <w:r w:rsidRPr="007B7B85">
        <w:rPr>
          <w:rFonts w:ascii="Times New Roman" w:hAnsi="Times New Roman" w:cs="Times New Roman"/>
          <w:sz w:val="24"/>
          <w:szCs w:val="24"/>
          <w:lang w:val="en-US"/>
        </w:rPr>
        <w:t>;</w:t>
      </w:r>
    </w:p>
    <w:p w:rsidR="00DB017D" w:rsidRPr="007B7B85" w:rsidRDefault="00DB017D" w:rsidP="00DB017D">
      <w:pPr>
        <w:pStyle w:val="ListParagraph"/>
        <w:numPr>
          <w:ilvl w:val="0"/>
          <w:numId w:val="1"/>
        </w:numPr>
        <w:spacing w:line="360" w:lineRule="auto"/>
        <w:ind w:left="540" w:hanging="540"/>
        <w:jc w:val="both"/>
        <w:rPr>
          <w:rFonts w:ascii="Times New Roman" w:hAnsi="Times New Roman" w:cs="Times New Roman"/>
          <w:sz w:val="24"/>
          <w:szCs w:val="24"/>
          <w:lang w:val="en-US"/>
        </w:rPr>
      </w:pPr>
      <w:r w:rsidRPr="007B7B85">
        <w:rPr>
          <w:rFonts w:ascii="Times New Roman" w:hAnsi="Times New Roman" w:cs="Times New Roman"/>
          <w:sz w:val="24"/>
          <w:szCs w:val="24"/>
          <w:lang w:val="en-US"/>
        </w:rPr>
        <w:lastRenderedPageBreak/>
        <w:tab/>
      </w:r>
      <w:r w:rsidRPr="007B7B85">
        <w:rPr>
          <w:rFonts w:ascii="Times New Roman" w:hAnsi="Times New Roman" w:cs="Times New Roman"/>
          <w:sz w:val="24"/>
          <w:szCs w:val="24"/>
        </w:rPr>
        <w:t>Untuk mengetahui ada tidaknya</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 xml:space="preserve">perbedaan </w:t>
      </w:r>
      <w:r w:rsidRPr="007B7B85">
        <w:rPr>
          <w:rFonts w:ascii="Times New Roman" w:hAnsi="Times New Roman" w:cs="Times New Roman"/>
          <w:i/>
          <w:iCs/>
          <w:sz w:val="24"/>
          <w:szCs w:val="24"/>
        </w:rPr>
        <w:t xml:space="preserve">Return On Asset </w:t>
      </w:r>
      <w:r w:rsidRPr="007B7B85">
        <w:rPr>
          <w:rFonts w:ascii="Times New Roman" w:hAnsi="Times New Roman" w:cs="Times New Roman"/>
          <w:sz w:val="24"/>
          <w:szCs w:val="24"/>
        </w:rPr>
        <w:t xml:space="preserve">dari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 xml:space="preserve">perusahaan sebelum dan sesudah merger pada PT. Bank OCBC NISP,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Tbk</w:t>
      </w:r>
      <w:r w:rsidRPr="007B7B85">
        <w:rPr>
          <w:rFonts w:ascii="Times New Roman" w:hAnsi="Times New Roman" w:cs="Times New Roman"/>
          <w:sz w:val="24"/>
          <w:szCs w:val="24"/>
          <w:lang w:val="en-US"/>
        </w:rPr>
        <w:t>;</w:t>
      </w:r>
    </w:p>
    <w:p w:rsidR="00DB017D" w:rsidRPr="007B7B85" w:rsidRDefault="00DB017D" w:rsidP="00DB017D">
      <w:pPr>
        <w:pStyle w:val="ListParagraph"/>
        <w:numPr>
          <w:ilvl w:val="0"/>
          <w:numId w:val="1"/>
        </w:numPr>
        <w:spacing w:line="360" w:lineRule="auto"/>
        <w:ind w:left="540" w:hanging="540"/>
        <w:jc w:val="both"/>
        <w:rPr>
          <w:rFonts w:ascii="Times New Roman" w:hAnsi="Times New Roman" w:cs="Times New Roman"/>
          <w:sz w:val="24"/>
          <w:szCs w:val="24"/>
          <w:lang w:val="en-US"/>
        </w:rPr>
      </w:pPr>
      <w:r w:rsidRPr="007B7B85">
        <w:rPr>
          <w:rFonts w:ascii="Times New Roman" w:hAnsi="Times New Roman" w:cs="Times New Roman"/>
          <w:sz w:val="24"/>
          <w:szCs w:val="24"/>
          <w:lang w:val="en-US"/>
        </w:rPr>
        <w:tab/>
      </w:r>
      <w:r w:rsidRPr="007B7B85">
        <w:rPr>
          <w:rFonts w:ascii="Times New Roman" w:hAnsi="Times New Roman" w:cs="Times New Roman"/>
          <w:sz w:val="24"/>
          <w:szCs w:val="24"/>
        </w:rPr>
        <w:t>Untuk mengetahui ada tidaknya</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 xml:space="preserve">perbedaan </w:t>
      </w:r>
      <w:r w:rsidRPr="007B7B85">
        <w:rPr>
          <w:rFonts w:ascii="Times New Roman" w:hAnsi="Times New Roman" w:cs="Times New Roman"/>
          <w:i/>
          <w:iCs/>
          <w:sz w:val="24"/>
          <w:szCs w:val="24"/>
        </w:rPr>
        <w:t xml:space="preserve">Return On Equity </w:t>
      </w:r>
      <w:r w:rsidRPr="007B7B85">
        <w:rPr>
          <w:rFonts w:ascii="Times New Roman" w:hAnsi="Times New Roman" w:cs="Times New Roman"/>
          <w:sz w:val="24"/>
          <w:szCs w:val="24"/>
        </w:rPr>
        <w:t xml:space="preserve">dari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 xml:space="preserve">perusahaan sebelum dan  sesudah merger pada PT. Bank OCBC NISP,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Tbk</w:t>
      </w:r>
      <w:r w:rsidRPr="007B7B85">
        <w:rPr>
          <w:rFonts w:ascii="Times New Roman" w:hAnsi="Times New Roman" w:cs="Times New Roman"/>
          <w:sz w:val="24"/>
          <w:szCs w:val="24"/>
          <w:lang w:val="en-US"/>
        </w:rPr>
        <w:t>;</w:t>
      </w:r>
    </w:p>
    <w:p w:rsidR="00DB017D" w:rsidRPr="007B7B85" w:rsidRDefault="00DB017D" w:rsidP="00DB017D">
      <w:pPr>
        <w:pStyle w:val="ListParagraph"/>
        <w:numPr>
          <w:ilvl w:val="0"/>
          <w:numId w:val="1"/>
        </w:numPr>
        <w:spacing w:line="360" w:lineRule="auto"/>
        <w:ind w:left="540" w:hanging="540"/>
        <w:jc w:val="both"/>
        <w:rPr>
          <w:rFonts w:ascii="Times New Roman" w:hAnsi="Times New Roman" w:cs="Times New Roman"/>
          <w:sz w:val="24"/>
          <w:szCs w:val="24"/>
          <w:lang w:val="en-US"/>
        </w:rPr>
      </w:pPr>
      <w:r w:rsidRPr="007B7B85">
        <w:rPr>
          <w:rFonts w:ascii="Times New Roman" w:hAnsi="Times New Roman" w:cs="Times New Roman"/>
          <w:sz w:val="24"/>
          <w:szCs w:val="24"/>
          <w:lang w:val="en-US"/>
        </w:rPr>
        <w:tab/>
      </w:r>
      <w:r w:rsidRPr="007B7B85">
        <w:rPr>
          <w:rFonts w:ascii="Times New Roman" w:hAnsi="Times New Roman" w:cs="Times New Roman"/>
          <w:sz w:val="24"/>
          <w:szCs w:val="24"/>
        </w:rPr>
        <w:t>Untuk mengetahui ada tidaknya</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 xml:space="preserve">perbedaan </w:t>
      </w:r>
      <w:r w:rsidRPr="007B7B85">
        <w:rPr>
          <w:rFonts w:ascii="Times New Roman" w:hAnsi="Times New Roman" w:cs="Times New Roman"/>
          <w:i/>
          <w:iCs/>
          <w:sz w:val="24"/>
          <w:szCs w:val="24"/>
        </w:rPr>
        <w:t xml:space="preserve">Current Ratio </w:t>
      </w:r>
      <w:r w:rsidRPr="007B7B85">
        <w:rPr>
          <w:rFonts w:ascii="Times New Roman" w:hAnsi="Times New Roman" w:cs="Times New Roman"/>
          <w:sz w:val="24"/>
          <w:szCs w:val="24"/>
        </w:rPr>
        <w:t xml:space="preserve">dari perusahaan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sebelum dan sesudah merger pada PT. Bank OCBC NISP, Tbk</w:t>
      </w:r>
      <w:r w:rsidRPr="007B7B85">
        <w:rPr>
          <w:rFonts w:ascii="Times New Roman" w:hAnsi="Times New Roman" w:cs="Times New Roman"/>
          <w:sz w:val="24"/>
          <w:szCs w:val="24"/>
          <w:lang w:val="en-US"/>
        </w:rPr>
        <w:t>;</w:t>
      </w:r>
    </w:p>
    <w:p w:rsidR="00DB017D" w:rsidRDefault="00DB017D" w:rsidP="00DB017D">
      <w:pPr>
        <w:pStyle w:val="ListParagraph"/>
        <w:numPr>
          <w:ilvl w:val="0"/>
          <w:numId w:val="1"/>
        </w:numPr>
        <w:spacing w:line="360" w:lineRule="auto"/>
        <w:ind w:left="540" w:hanging="540"/>
        <w:jc w:val="both"/>
        <w:rPr>
          <w:rFonts w:ascii="Times New Roman" w:hAnsi="Times New Roman" w:cs="Times New Roman"/>
          <w:sz w:val="24"/>
          <w:szCs w:val="24"/>
          <w:lang w:val="en-US"/>
        </w:rPr>
      </w:pPr>
      <w:r w:rsidRPr="007B7B85">
        <w:rPr>
          <w:rFonts w:ascii="Times New Roman" w:hAnsi="Times New Roman" w:cs="Times New Roman"/>
          <w:sz w:val="24"/>
          <w:szCs w:val="24"/>
          <w:lang w:val="en-US"/>
        </w:rPr>
        <w:tab/>
      </w:r>
      <w:r w:rsidRPr="007B7B85">
        <w:rPr>
          <w:rFonts w:ascii="Times New Roman" w:hAnsi="Times New Roman" w:cs="Times New Roman"/>
          <w:sz w:val="24"/>
          <w:szCs w:val="24"/>
        </w:rPr>
        <w:t>Untuk mengetahui ada tidaknya</w:t>
      </w:r>
      <w:r>
        <w:rPr>
          <w:rFonts w:ascii="Times New Roman" w:hAnsi="Times New Roman" w:cs="Times New Roman"/>
          <w:sz w:val="24"/>
          <w:szCs w:val="24"/>
          <w:lang w:val="en-US"/>
        </w:rPr>
        <w:t xml:space="preserve"> </w:t>
      </w:r>
      <w:r w:rsidRPr="007B7B85">
        <w:rPr>
          <w:rFonts w:ascii="Times New Roman" w:hAnsi="Times New Roman" w:cs="Times New Roman"/>
          <w:sz w:val="24"/>
          <w:szCs w:val="24"/>
        </w:rPr>
        <w:t>perbedaan</w:t>
      </w:r>
      <w:r>
        <w:rPr>
          <w:rFonts w:ascii="Times New Roman" w:hAnsi="Times New Roman" w:cs="Times New Roman"/>
          <w:sz w:val="24"/>
          <w:szCs w:val="24"/>
          <w:lang w:val="en-US"/>
        </w:rPr>
        <w:t xml:space="preserve"> </w:t>
      </w:r>
      <w:r w:rsidRPr="007B7B85">
        <w:rPr>
          <w:rFonts w:ascii="Times New Roman" w:hAnsi="Times New Roman" w:cs="Times New Roman"/>
          <w:i/>
          <w:iCs/>
          <w:sz w:val="24"/>
          <w:szCs w:val="24"/>
        </w:rPr>
        <w:t xml:space="preserve">Debt Asset Ratio </w:t>
      </w:r>
      <w:r w:rsidRPr="007B7B85">
        <w:rPr>
          <w:rFonts w:ascii="Times New Roman" w:hAnsi="Times New Roman" w:cs="Times New Roman"/>
          <w:sz w:val="24"/>
          <w:szCs w:val="24"/>
        </w:rPr>
        <w:t xml:space="preserve">dari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 xml:space="preserve">perusahaan sebelum dan sesudah merger pada PT. Bank OCBC NISP, </w:t>
      </w:r>
      <w:r w:rsidRPr="007B7B85">
        <w:rPr>
          <w:rFonts w:ascii="Times New Roman" w:hAnsi="Times New Roman" w:cs="Times New Roman"/>
          <w:sz w:val="24"/>
          <w:szCs w:val="24"/>
          <w:lang w:val="en-US"/>
        </w:rPr>
        <w:tab/>
      </w:r>
      <w:r w:rsidRPr="007B7B85">
        <w:rPr>
          <w:rFonts w:ascii="Times New Roman" w:hAnsi="Times New Roman" w:cs="Times New Roman"/>
          <w:sz w:val="24"/>
          <w:szCs w:val="24"/>
        </w:rPr>
        <w:t>Tbk</w:t>
      </w:r>
      <w:r w:rsidRPr="007B7B85">
        <w:rPr>
          <w:rFonts w:ascii="Times New Roman" w:hAnsi="Times New Roman" w:cs="Times New Roman"/>
          <w:sz w:val="24"/>
          <w:szCs w:val="24"/>
          <w:lang w:val="en-US"/>
        </w:rPr>
        <w:t>.</w:t>
      </w:r>
    </w:p>
    <w:p w:rsidR="00DB017D" w:rsidRPr="007B7B85" w:rsidRDefault="00DB017D" w:rsidP="00DB017D">
      <w:pPr>
        <w:pStyle w:val="ListParagraph"/>
        <w:spacing w:line="360" w:lineRule="auto"/>
        <w:ind w:left="540"/>
        <w:jc w:val="both"/>
        <w:rPr>
          <w:rFonts w:ascii="Times New Roman" w:hAnsi="Times New Roman" w:cs="Times New Roman"/>
          <w:sz w:val="24"/>
          <w:szCs w:val="24"/>
          <w:lang w:val="en-US"/>
        </w:rPr>
      </w:pPr>
    </w:p>
    <w:p w:rsidR="00DB017D" w:rsidRPr="007B7B85" w:rsidRDefault="00DB017D" w:rsidP="00DB017D">
      <w:pPr>
        <w:pStyle w:val="ListParagraph"/>
        <w:numPr>
          <w:ilvl w:val="1"/>
          <w:numId w:val="3"/>
        </w:numPr>
        <w:spacing w:line="360" w:lineRule="auto"/>
        <w:ind w:left="540" w:hanging="540"/>
        <w:jc w:val="both"/>
        <w:rPr>
          <w:rFonts w:ascii="Times New Roman" w:hAnsi="Times New Roman" w:cs="Times New Roman"/>
          <w:b/>
          <w:sz w:val="24"/>
          <w:szCs w:val="24"/>
        </w:rPr>
      </w:pPr>
      <w:r w:rsidRPr="007B7B85">
        <w:rPr>
          <w:rFonts w:ascii="Times New Roman" w:hAnsi="Times New Roman" w:cs="Times New Roman"/>
          <w:b/>
          <w:sz w:val="24"/>
          <w:szCs w:val="24"/>
          <w:lang w:val="en-US"/>
        </w:rPr>
        <w:tab/>
      </w:r>
      <w:r w:rsidRPr="007B7B85">
        <w:rPr>
          <w:rFonts w:ascii="Times New Roman" w:hAnsi="Times New Roman" w:cs="Times New Roman"/>
          <w:b/>
          <w:sz w:val="24"/>
          <w:szCs w:val="24"/>
        </w:rPr>
        <w:t>Manfaat Penelitian</w:t>
      </w:r>
    </w:p>
    <w:p w:rsidR="00DB017D" w:rsidRPr="007B7B85" w:rsidRDefault="00DB017D" w:rsidP="00DB017D">
      <w:pPr>
        <w:pStyle w:val="ListParagraph"/>
        <w:spacing w:line="360" w:lineRule="auto"/>
        <w:ind w:left="0" w:firstLine="540"/>
        <w:jc w:val="both"/>
        <w:rPr>
          <w:rFonts w:ascii="Times New Roman" w:hAnsi="Times New Roman" w:cs="Times New Roman"/>
          <w:sz w:val="24"/>
          <w:szCs w:val="24"/>
        </w:rPr>
      </w:pPr>
      <w:r w:rsidRPr="007B7B85">
        <w:rPr>
          <w:rFonts w:ascii="Times New Roman" w:hAnsi="Times New Roman" w:cs="Times New Roman"/>
          <w:sz w:val="24"/>
          <w:szCs w:val="24"/>
          <w:lang w:val="en-US"/>
        </w:rPr>
        <w:tab/>
      </w:r>
      <w:proofErr w:type="spellStart"/>
      <w:r w:rsidRPr="007B7B85">
        <w:rPr>
          <w:rFonts w:ascii="Times New Roman" w:hAnsi="Times New Roman" w:cs="Times New Roman"/>
          <w:sz w:val="24"/>
          <w:szCs w:val="24"/>
          <w:lang w:val="en-US"/>
        </w:rPr>
        <w:t>Dengan</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dilakukannya</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penelitian</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ini</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diharapkan</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dapat</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bermanfaat</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bagi</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berbagai</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pihak</w:t>
      </w:r>
      <w:proofErr w:type="spellEnd"/>
      <w:r w:rsidRPr="007B7B85">
        <w:rPr>
          <w:rFonts w:ascii="Times New Roman" w:hAnsi="Times New Roman" w:cs="Times New Roman"/>
          <w:sz w:val="24"/>
          <w:szCs w:val="24"/>
          <w:lang w:val="en-US"/>
        </w:rPr>
        <w:t xml:space="preserve">, </w:t>
      </w:r>
      <w:proofErr w:type="spellStart"/>
      <w:r w:rsidRPr="007B7B85">
        <w:rPr>
          <w:rFonts w:ascii="Times New Roman" w:hAnsi="Times New Roman" w:cs="Times New Roman"/>
          <w:sz w:val="24"/>
          <w:szCs w:val="24"/>
          <w:lang w:val="en-US"/>
        </w:rPr>
        <w:t>yaitu</w:t>
      </w:r>
      <w:proofErr w:type="spellEnd"/>
      <w:r w:rsidRPr="007B7B85">
        <w:rPr>
          <w:rFonts w:ascii="Times New Roman" w:hAnsi="Times New Roman" w:cs="Times New Roman"/>
          <w:sz w:val="24"/>
          <w:szCs w:val="24"/>
          <w:lang w:val="en-US"/>
        </w:rPr>
        <w:t>:</w:t>
      </w:r>
    </w:p>
    <w:p w:rsidR="00DB017D" w:rsidRPr="007B7B85" w:rsidRDefault="00DB017D" w:rsidP="00DB017D">
      <w:pPr>
        <w:pStyle w:val="Default"/>
        <w:numPr>
          <w:ilvl w:val="0"/>
          <w:numId w:val="5"/>
        </w:numPr>
        <w:tabs>
          <w:tab w:val="left" w:pos="540"/>
          <w:tab w:val="left" w:pos="720"/>
        </w:tabs>
        <w:spacing w:line="360" w:lineRule="auto"/>
        <w:ind w:left="720" w:hanging="720"/>
        <w:jc w:val="both"/>
      </w:pPr>
      <w:r w:rsidRPr="007B7B85">
        <w:rPr>
          <w:lang w:val="en-US"/>
        </w:rPr>
        <w:tab/>
      </w:r>
      <w:r w:rsidRPr="007B7B85">
        <w:t>Manfaat bagi perusahaan</w:t>
      </w:r>
    </w:p>
    <w:p w:rsidR="00DB017D" w:rsidRPr="007B7B85" w:rsidRDefault="00DB017D" w:rsidP="00DB017D">
      <w:pPr>
        <w:pStyle w:val="Default"/>
        <w:spacing w:line="360" w:lineRule="auto"/>
        <w:ind w:left="540"/>
        <w:jc w:val="both"/>
        <w:rPr>
          <w:lang w:val="en-US"/>
        </w:rPr>
      </w:pPr>
      <w:r w:rsidRPr="007B7B85">
        <w:rPr>
          <w:lang w:val="en-US"/>
        </w:rPr>
        <w:tab/>
      </w:r>
      <w:r w:rsidRPr="007B7B85">
        <w:t xml:space="preserve">Hasil penelitian ini bermanfaat bagi perusahaan yaitu dapat memberikan </w:t>
      </w:r>
      <w:r w:rsidRPr="007B7B85">
        <w:rPr>
          <w:lang w:val="en-US"/>
        </w:rPr>
        <w:tab/>
      </w:r>
      <w:r w:rsidRPr="007B7B85">
        <w:t>tambahan informasi bagi perusahaan atas keputusan pelaksanaan merger.</w:t>
      </w:r>
    </w:p>
    <w:p w:rsidR="00DB017D" w:rsidRPr="007B7B85" w:rsidRDefault="00DB017D" w:rsidP="00DB017D">
      <w:pPr>
        <w:pStyle w:val="Default"/>
        <w:numPr>
          <w:ilvl w:val="0"/>
          <w:numId w:val="5"/>
        </w:numPr>
        <w:tabs>
          <w:tab w:val="left" w:pos="720"/>
        </w:tabs>
        <w:spacing w:line="360" w:lineRule="auto"/>
        <w:ind w:hanging="900"/>
        <w:jc w:val="both"/>
        <w:rPr>
          <w:lang w:val="en-US"/>
        </w:rPr>
      </w:pPr>
      <w:r w:rsidRPr="007B7B85">
        <w:t>Manfaat bagi pihak lain</w:t>
      </w:r>
    </w:p>
    <w:p w:rsidR="00DB017D" w:rsidRPr="007B7B85" w:rsidRDefault="00DB017D" w:rsidP="00DB017D">
      <w:pPr>
        <w:pStyle w:val="Default"/>
        <w:tabs>
          <w:tab w:val="left" w:pos="540"/>
        </w:tabs>
        <w:spacing w:line="360" w:lineRule="auto"/>
        <w:ind w:left="540"/>
        <w:jc w:val="both"/>
        <w:rPr>
          <w:lang w:val="en-US"/>
        </w:rPr>
      </w:pPr>
      <w:r w:rsidRPr="007B7B85">
        <w:rPr>
          <w:lang w:val="en-US"/>
        </w:rPr>
        <w:tab/>
      </w:r>
      <w:r w:rsidRPr="007B7B85">
        <w:t xml:space="preserve">Bagi pihak lain dapat bermanfaat yaitu investor mendapatkan informasi </w:t>
      </w:r>
      <w:r w:rsidRPr="007B7B85">
        <w:rPr>
          <w:lang w:val="en-US"/>
        </w:rPr>
        <w:tab/>
      </w:r>
      <w:r w:rsidRPr="007B7B85">
        <w:t xml:space="preserve">sebagai dasar pengambilan keputusan investasi dengan melihat dampak </w:t>
      </w:r>
      <w:r w:rsidRPr="007B7B85">
        <w:rPr>
          <w:lang w:val="en-US"/>
        </w:rPr>
        <w:tab/>
      </w:r>
      <w:r w:rsidRPr="007B7B85">
        <w:t xml:space="preserve">merger terhadap struktur kepemilikan, manajemen laba,dan kinerja </w:t>
      </w:r>
      <w:r w:rsidRPr="007B7B85">
        <w:rPr>
          <w:lang w:val="en-US"/>
        </w:rPr>
        <w:tab/>
      </w:r>
      <w:r w:rsidRPr="007B7B85">
        <w:t>keuangan</w:t>
      </w:r>
      <w:r w:rsidRPr="007B7B85">
        <w:rPr>
          <w:lang w:val="en-US"/>
        </w:rPr>
        <w:t>.</w:t>
      </w:r>
    </w:p>
    <w:p w:rsidR="00DB017D" w:rsidRPr="007B7B85" w:rsidRDefault="00DB017D" w:rsidP="00DB017D">
      <w:pPr>
        <w:pStyle w:val="Default"/>
        <w:numPr>
          <w:ilvl w:val="0"/>
          <w:numId w:val="5"/>
        </w:numPr>
        <w:tabs>
          <w:tab w:val="left" w:pos="720"/>
        </w:tabs>
        <w:spacing w:line="360" w:lineRule="auto"/>
        <w:ind w:hanging="900"/>
        <w:jc w:val="both"/>
        <w:rPr>
          <w:lang w:val="en-US"/>
        </w:rPr>
      </w:pPr>
      <w:r w:rsidRPr="007B7B85">
        <w:t>Manfaat bagi penulis</w:t>
      </w:r>
    </w:p>
    <w:p w:rsidR="00DB017D" w:rsidRDefault="00DB017D" w:rsidP="00DB017D">
      <w:pPr>
        <w:pStyle w:val="Default"/>
        <w:tabs>
          <w:tab w:val="left" w:pos="540"/>
        </w:tabs>
        <w:spacing w:line="360" w:lineRule="auto"/>
        <w:ind w:left="540"/>
        <w:jc w:val="both"/>
      </w:pPr>
      <w:r w:rsidRPr="007B7B85">
        <w:rPr>
          <w:lang w:val="en-US"/>
        </w:rPr>
        <w:tab/>
      </w:r>
      <w:r w:rsidRPr="007B7B85">
        <w:t xml:space="preserve">Manfaat penelitian bagi penulis yaitu  dapat memperoleh pengetahuan </w:t>
      </w:r>
      <w:r w:rsidRPr="007B7B85">
        <w:rPr>
          <w:lang w:val="en-US"/>
        </w:rPr>
        <w:tab/>
      </w:r>
      <w:r w:rsidRPr="007B7B85">
        <w:t>mengenai laporan keuangan khususnya kinerja keuangan pada perusahaan</w:t>
      </w:r>
    </w:p>
    <w:p w:rsidR="00DB017D" w:rsidRDefault="00DB017D" w:rsidP="00DB017D">
      <w:pPr>
        <w:pStyle w:val="Default"/>
        <w:tabs>
          <w:tab w:val="left" w:pos="540"/>
        </w:tabs>
        <w:spacing w:line="360" w:lineRule="auto"/>
        <w:ind w:left="540"/>
        <w:jc w:val="both"/>
      </w:pPr>
    </w:p>
    <w:p w:rsidR="00F65B03" w:rsidRDefault="00F65B03"/>
    <w:sectPr w:rsidR="00F65B03" w:rsidSect="00DB017D">
      <w:pgSz w:w="11906" w:h="16838"/>
      <w:pgMar w:top="1701" w:right="2268"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7744"/>
      <w:docPartObj>
        <w:docPartGallery w:val="Page Numbers (Bottom of Page)"/>
        <w:docPartUnique/>
      </w:docPartObj>
    </w:sdtPr>
    <w:sdtEndPr>
      <w:rPr>
        <w:noProof/>
      </w:rPr>
    </w:sdtEndPr>
    <w:sdtContent>
      <w:p w:rsidR="00144912" w:rsidRDefault="00DB017D">
        <w:pPr>
          <w:pStyle w:val="Footer"/>
          <w:jc w:val="center"/>
        </w:pPr>
        <w:r>
          <w:fldChar w:fldCharType="begin"/>
        </w:r>
        <w:r>
          <w:instrText xml:space="preserve"> PAGE   \* MERGEFORMAT </w:instrText>
        </w:r>
        <w:r>
          <w:fldChar w:fldCharType="separate"/>
        </w:r>
        <w:r>
          <w:rPr>
            <w:noProof/>
          </w:rPr>
          <w:t>1</w:t>
        </w:r>
        <w:r>
          <w:fldChar w:fldCharType="end"/>
        </w:r>
      </w:p>
    </w:sdtContent>
  </w:sdt>
  <w:p w:rsidR="00144912" w:rsidRDefault="00DB017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12" w:rsidRDefault="00DB017D">
    <w:pPr>
      <w:pStyle w:val="Header"/>
      <w:jc w:val="right"/>
    </w:pPr>
  </w:p>
  <w:p w:rsidR="00144912" w:rsidRDefault="00DB0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EDB"/>
    <w:multiLevelType w:val="hybridMultilevel"/>
    <w:tmpl w:val="CA5A5610"/>
    <w:lvl w:ilvl="0" w:tplc="22127E12">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3FDB028E"/>
    <w:multiLevelType w:val="hybridMultilevel"/>
    <w:tmpl w:val="AC5CFA9E"/>
    <w:lvl w:ilvl="0" w:tplc="2BDE6CD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A15E9C"/>
    <w:multiLevelType w:val="hybridMultilevel"/>
    <w:tmpl w:val="B8AC1E48"/>
    <w:lvl w:ilvl="0" w:tplc="923EF3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1451A6B"/>
    <w:multiLevelType w:val="hybridMultilevel"/>
    <w:tmpl w:val="0E1E1884"/>
    <w:lvl w:ilvl="0" w:tplc="647AF4AC">
      <w:start w:val="1"/>
      <w:numFmt w:val="decimal"/>
      <w:lvlText w:val="%1."/>
      <w:lvlJc w:val="left"/>
      <w:pPr>
        <w:ind w:left="1353" w:hanging="360"/>
      </w:pPr>
      <w:rPr>
        <w:rFonts w:ascii="Times New Roman" w:hAnsi="Times New Roman" w:cs="Times New Roman" w:hint="default"/>
        <w:color w:val="000000" w:themeColor="text1"/>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6F50262C"/>
    <w:multiLevelType w:val="multilevel"/>
    <w:tmpl w:val="583C5650"/>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36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7D"/>
    <w:rsid w:val="00DB017D"/>
    <w:rsid w:val="00F65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17D"/>
    <w:pPr>
      <w:ind w:left="720"/>
      <w:contextualSpacing/>
    </w:pPr>
  </w:style>
  <w:style w:type="paragraph" w:customStyle="1" w:styleId="Default">
    <w:name w:val="Default"/>
    <w:rsid w:val="00DB01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B017D"/>
  </w:style>
  <w:style w:type="character" w:styleId="Hyperlink">
    <w:name w:val="Hyperlink"/>
    <w:uiPriority w:val="99"/>
    <w:unhideWhenUsed/>
    <w:rsid w:val="00DB017D"/>
    <w:rPr>
      <w:color w:val="0000FF"/>
      <w:u w:val="single"/>
    </w:rPr>
  </w:style>
  <w:style w:type="table" w:styleId="TableGrid">
    <w:name w:val="Table Grid"/>
    <w:basedOn w:val="TableNormal"/>
    <w:uiPriority w:val="59"/>
    <w:rsid w:val="00DB0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7D"/>
  </w:style>
  <w:style w:type="paragraph" w:styleId="Footer">
    <w:name w:val="footer"/>
    <w:basedOn w:val="Normal"/>
    <w:link w:val="FooterChar"/>
    <w:uiPriority w:val="99"/>
    <w:unhideWhenUsed/>
    <w:rsid w:val="00D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7D"/>
  </w:style>
  <w:style w:type="paragraph" w:styleId="BalloonText">
    <w:name w:val="Balloon Text"/>
    <w:basedOn w:val="Normal"/>
    <w:link w:val="BalloonTextChar"/>
    <w:uiPriority w:val="99"/>
    <w:semiHidden/>
    <w:unhideWhenUsed/>
    <w:rsid w:val="00DB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17D"/>
    <w:pPr>
      <w:ind w:left="720"/>
      <w:contextualSpacing/>
    </w:pPr>
  </w:style>
  <w:style w:type="paragraph" w:customStyle="1" w:styleId="Default">
    <w:name w:val="Default"/>
    <w:rsid w:val="00DB01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B017D"/>
  </w:style>
  <w:style w:type="character" w:styleId="Hyperlink">
    <w:name w:val="Hyperlink"/>
    <w:uiPriority w:val="99"/>
    <w:unhideWhenUsed/>
    <w:rsid w:val="00DB017D"/>
    <w:rPr>
      <w:color w:val="0000FF"/>
      <w:u w:val="single"/>
    </w:rPr>
  </w:style>
  <w:style w:type="table" w:styleId="TableGrid">
    <w:name w:val="Table Grid"/>
    <w:basedOn w:val="TableNormal"/>
    <w:uiPriority w:val="59"/>
    <w:rsid w:val="00DB0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7D"/>
  </w:style>
  <w:style w:type="paragraph" w:styleId="Footer">
    <w:name w:val="footer"/>
    <w:basedOn w:val="Normal"/>
    <w:link w:val="FooterChar"/>
    <w:uiPriority w:val="99"/>
    <w:unhideWhenUsed/>
    <w:rsid w:val="00D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7D"/>
  </w:style>
  <w:style w:type="paragraph" w:styleId="BalloonText">
    <w:name w:val="Balloon Text"/>
    <w:basedOn w:val="Normal"/>
    <w:link w:val="BalloonTextChar"/>
    <w:uiPriority w:val="99"/>
    <w:semiHidden/>
    <w:unhideWhenUsed/>
    <w:rsid w:val="00DB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m"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x.com"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NPM</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0.000</c:formatCode>
                <c:ptCount val="6"/>
                <c:pt idx="0">
                  <c:v>2.7564757555430988</c:v>
                </c:pt>
                <c:pt idx="1">
                  <c:v>2.9710585722589427</c:v>
                </c:pt>
                <c:pt idx="2">
                  <c:v>2.9745597718988548</c:v>
                </c:pt>
                <c:pt idx="3">
                  <c:v>2.7900027706700152</c:v>
                </c:pt>
                <c:pt idx="4">
                  <c:v>2.6876006149950258</c:v>
                </c:pt>
                <c:pt idx="5">
                  <c:v>3.1732931410703631</c:v>
                </c:pt>
              </c:numCache>
            </c:numRef>
          </c:val>
          <c:extLst xmlns:c16r2="http://schemas.microsoft.com/office/drawing/2015/06/chart">
            <c:ext xmlns:c16="http://schemas.microsoft.com/office/drawing/2014/chart" uri="{C3380CC4-5D6E-409C-BE32-E72D297353CC}">
              <c16:uniqueId val="{00000000-F3E0-4096-A7D7-B68F4B98C7DF}"/>
            </c:ext>
          </c:extLst>
        </c:ser>
        <c:ser>
          <c:idx val="1"/>
          <c:order val="1"/>
          <c:tx>
            <c:strRef>
              <c:f>Sheet1!$C$1</c:f>
              <c:strCache>
                <c:ptCount val="1"/>
                <c:pt idx="0">
                  <c:v>ROA</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0.000</c:formatCode>
                <c:ptCount val="6"/>
                <c:pt idx="0">
                  <c:v>1.277572742153481</c:v>
                </c:pt>
                <c:pt idx="1">
                  <c:v>0.83496007772714043</c:v>
                </c:pt>
                <c:pt idx="2">
                  <c:v>1.2578951869440578</c:v>
                </c:pt>
                <c:pt idx="3">
                  <c:v>1.1567297290935123</c:v>
                </c:pt>
                <c:pt idx="4">
                  <c:v>1.1717266599276361</c:v>
                </c:pt>
                <c:pt idx="5">
                  <c:v>1.291835659953811</c:v>
                </c:pt>
              </c:numCache>
            </c:numRef>
          </c:val>
          <c:extLst xmlns:c16r2="http://schemas.microsoft.com/office/drawing/2015/06/chart">
            <c:ext xmlns:c16="http://schemas.microsoft.com/office/drawing/2014/chart" uri="{C3380CC4-5D6E-409C-BE32-E72D297353CC}">
              <c16:uniqueId val="{00000001-F3E0-4096-A7D7-B68F4B98C7DF}"/>
            </c:ext>
          </c:extLst>
        </c:ser>
        <c:ser>
          <c:idx val="2"/>
          <c:order val="2"/>
          <c:tx>
            <c:strRef>
              <c:f>Sheet1!$D$1</c:f>
              <c:strCache>
                <c:ptCount val="1"/>
                <c:pt idx="0">
                  <c:v>ROE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0.000</c:formatCode>
                <c:ptCount val="6"/>
                <c:pt idx="0">
                  <c:v>10.555866280605308</c:v>
                </c:pt>
                <c:pt idx="1">
                  <c:v>7.1802512990196963</c:v>
                </c:pt>
                <c:pt idx="2">
                  <c:v>11.42049645399757</c:v>
                </c:pt>
                <c:pt idx="3">
                  <c:v>10.226872082324748</c:v>
                </c:pt>
                <c:pt idx="4">
                  <c:v>8.4667624738525813</c:v>
                </c:pt>
                <c:pt idx="5">
                  <c:v>8.9365148704221546</c:v>
                </c:pt>
              </c:numCache>
            </c:numRef>
          </c:val>
          <c:extLst xmlns:c16r2="http://schemas.microsoft.com/office/drawing/2015/06/chart">
            <c:ext xmlns:c16="http://schemas.microsoft.com/office/drawing/2014/chart" uri="{C3380CC4-5D6E-409C-BE32-E72D297353CC}">
              <c16:uniqueId val="{00000002-F3E0-4096-A7D7-B68F4B98C7DF}"/>
            </c:ext>
          </c:extLst>
        </c:ser>
        <c:ser>
          <c:idx val="3"/>
          <c:order val="3"/>
          <c:tx>
            <c:strRef>
              <c:f>Sheet1!$E$1</c:f>
              <c:strCache>
                <c:ptCount val="1"/>
                <c:pt idx="0">
                  <c:v>CR</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Sheet1!$E$2:$E$7</c:f>
              <c:numCache>
                <c:formatCode>0.000</c:formatCode>
                <c:ptCount val="6"/>
                <c:pt idx="0">
                  <c:v>3.259473647914763</c:v>
                </c:pt>
                <c:pt idx="1">
                  <c:v>2.9270321533855888</c:v>
                </c:pt>
                <c:pt idx="2">
                  <c:v>2.3839545805837941</c:v>
                </c:pt>
                <c:pt idx="3">
                  <c:v>1.9511392854225988</c:v>
                </c:pt>
                <c:pt idx="4">
                  <c:v>4.0188437878905914</c:v>
                </c:pt>
                <c:pt idx="5">
                  <c:v>3.596953004272339</c:v>
                </c:pt>
              </c:numCache>
            </c:numRef>
          </c:val>
          <c:extLst xmlns:c16r2="http://schemas.microsoft.com/office/drawing/2015/06/chart">
            <c:ext xmlns:c16="http://schemas.microsoft.com/office/drawing/2014/chart" uri="{C3380CC4-5D6E-409C-BE32-E72D297353CC}">
              <c16:uniqueId val="{00000003-F3E0-4096-A7D7-B68F4B98C7DF}"/>
            </c:ext>
          </c:extLst>
        </c:ser>
        <c:ser>
          <c:idx val="4"/>
          <c:order val="4"/>
          <c:tx>
            <c:strRef>
              <c:f>Sheet1!$F$1</c:f>
              <c:strCache>
                <c:ptCount val="1"/>
                <c:pt idx="0">
                  <c:v>Debt Ratio</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Sheet1!$F$2:$F$7</c:f>
              <c:numCache>
                <c:formatCode>0.000</c:formatCode>
                <c:ptCount val="6"/>
                <c:pt idx="0">
                  <c:v>0.56010953630833804</c:v>
                </c:pt>
                <c:pt idx="1">
                  <c:v>0.61089644221074602</c:v>
                </c:pt>
                <c:pt idx="2">
                  <c:v>0.50602665887984122</c:v>
                </c:pt>
                <c:pt idx="3">
                  <c:v>0.44867728895058345</c:v>
                </c:pt>
                <c:pt idx="4">
                  <c:v>0.27653656022996842</c:v>
                </c:pt>
                <c:pt idx="5">
                  <c:v>0.26669561845062795</c:v>
                </c:pt>
              </c:numCache>
            </c:numRef>
          </c:val>
          <c:extLst xmlns:c16r2="http://schemas.microsoft.com/office/drawing/2015/06/chart">
            <c:ext xmlns:c16="http://schemas.microsoft.com/office/drawing/2014/chart" uri="{C3380CC4-5D6E-409C-BE32-E72D297353CC}">
              <c16:uniqueId val="{00000004-F3E0-4096-A7D7-B68F4B98C7DF}"/>
            </c:ext>
          </c:extLst>
        </c:ser>
        <c:dLbls>
          <c:showLegendKey val="0"/>
          <c:showVal val="0"/>
          <c:showCatName val="0"/>
          <c:showSerName val="0"/>
          <c:showPercent val="0"/>
          <c:showBubbleSize val="0"/>
        </c:dLbls>
        <c:gapWidth val="150"/>
        <c:shape val="cylinder"/>
        <c:axId val="140851456"/>
        <c:axId val="140865536"/>
        <c:axId val="0"/>
      </c:bar3DChart>
      <c:catAx>
        <c:axId val="140851456"/>
        <c:scaling>
          <c:orientation val="minMax"/>
        </c:scaling>
        <c:delete val="0"/>
        <c:axPos val="b"/>
        <c:numFmt formatCode="General" sourceLinked="1"/>
        <c:majorTickMark val="out"/>
        <c:minorTickMark val="none"/>
        <c:tickLblPos val="nextTo"/>
        <c:txPr>
          <a:bodyPr/>
          <a:lstStyle/>
          <a:p>
            <a:pPr>
              <a:defRPr lang="id-ID"/>
            </a:pPr>
            <a:endParaRPr lang="id-ID"/>
          </a:p>
        </c:txPr>
        <c:crossAx val="140865536"/>
        <c:crosses val="autoZero"/>
        <c:auto val="1"/>
        <c:lblAlgn val="ctr"/>
        <c:lblOffset val="100"/>
        <c:noMultiLvlLbl val="0"/>
      </c:catAx>
      <c:valAx>
        <c:axId val="140865536"/>
        <c:scaling>
          <c:orientation val="minMax"/>
        </c:scaling>
        <c:delete val="0"/>
        <c:axPos val="l"/>
        <c:majorGridlines/>
        <c:numFmt formatCode="0.000" sourceLinked="1"/>
        <c:majorTickMark val="out"/>
        <c:minorTickMark val="none"/>
        <c:tickLblPos val="nextTo"/>
        <c:txPr>
          <a:bodyPr/>
          <a:lstStyle/>
          <a:p>
            <a:pPr>
              <a:defRPr lang="id-ID"/>
            </a:pPr>
            <a:endParaRPr lang="id-ID"/>
          </a:p>
        </c:txPr>
        <c:crossAx val="140851456"/>
        <c:crosses val="autoZero"/>
        <c:crossBetween val="between"/>
      </c:valAx>
    </c:plotArea>
    <c:legend>
      <c:legendPos val="r"/>
      <c:layout/>
      <c:overlay val="0"/>
      <c:txPr>
        <a:bodyPr/>
        <a:lstStyle/>
        <a:p>
          <a:pPr>
            <a:defRPr lang="id-ID"/>
          </a:pPr>
          <a:endParaRPr lang="id-ID"/>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Kokilux 1</dc:creator>
  <cp:lastModifiedBy>Kokilux 1</cp:lastModifiedBy>
  <cp:revision>1</cp:revision>
  <dcterms:created xsi:type="dcterms:W3CDTF">2017-08-04T10:13:00Z</dcterms:created>
  <dcterms:modified xsi:type="dcterms:W3CDTF">2017-08-04T10:15:00Z</dcterms:modified>
</cp:coreProperties>
</file>